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713E15">
        <w:trPr>
          <w:cantSplit/>
          <w:trHeight w:hRule="exact" w:val="1791"/>
          <w:jc w:val="right"/>
        </w:trPr>
        <w:tc>
          <w:tcPr>
            <w:tcW w:w="9000" w:type="dxa"/>
            <w:shd w:val="clear" w:color="auto" w:fill="8DC63F"/>
            <w:vAlign w:val="center"/>
          </w:tcPr>
          <w:p w14:paraId="3EF67A49" w14:textId="67881A82" w:rsidR="00BD221D" w:rsidRPr="00713E15" w:rsidRDefault="00B61584" w:rsidP="00BD221D">
            <w:pPr>
              <w:pStyle w:val="eTRMHeading1"/>
              <w:jc w:val="center"/>
              <w:rPr>
                <w:sz w:val="28"/>
              </w:rPr>
            </w:pPr>
            <w:r w:rsidRPr="00713E15">
              <w:rPr>
                <w:sz w:val="28"/>
              </w:rPr>
              <w:t>HVAC</w:t>
            </w:r>
          </w:p>
          <w:p w14:paraId="6B752B22" w14:textId="2660F94A" w:rsidR="00BD221D" w:rsidRPr="00713E15" w:rsidRDefault="00386A29" w:rsidP="00B561EE">
            <w:pPr>
              <w:pStyle w:val="eTRMHeading2"/>
              <w:rPr>
                <w:color w:val="FFFFFF" w:themeColor="background1"/>
                <w:spacing w:val="60"/>
                <w:sz w:val="32"/>
              </w:rPr>
            </w:pPr>
            <w:r w:rsidRPr="00713E15">
              <w:rPr>
                <w:color w:val="FFFFFF" w:themeColor="background1"/>
                <w:spacing w:val="60"/>
                <w:sz w:val="32"/>
              </w:rPr>
              <w:t xml:space="preserve">Unitary Air-Cooled AC </w:t>
            </w:r>
            <w:r w:rsidR="00713E15">
              <w:rPr>
                <w:color w:val="FFFFFF" w:themeColor="background1"/>
                <w:spacing w:val="60"/>
                <w:sz w:val="32"/>
              </w:rPr>
              <w:t>or</w:t>
            </w:r>
            <w:r w:rsidRPr="00713E15">
              <w:rPr>
                <w:color w:val="FFFFFF" w:themeColor="background1"/>
                <w:spacing w:val="60"/>
                <w:sz w:val="32"/>
              </w:rPr>
              <w:t xml:space="preserve"> Heat Pump, </w:t>
            </w:r>
            <w:r w:rsidR="00B174FF">
              <w:rPr>
                <w:color w:val="FFFFFF" w:themeColor="background1"/>
                <w:spacing w:val="60"/>
                <w:sz w:val="32"/>
              </w:rPr>
              <w:br/>
            </w:r>
            <w:r w:rsidR="003326EC" w:rsidRPr="00713E15">
              <w:rPr>
                <w:rFonts w:cs="Calibri Light"/>
                <w:color w:val="FFFFFF" w:themeColor="background1"/>
                <w:spacing w:val="60"/>
                <w:sz w:val="32"/>
              </w:rPr>
              <w:t>&lt;</w:t>
            </w:r>
            <w:r w:rsidRPr="00713E15">
              <w:rPr>
                <w:color w:val="FFFFFF" w:themeColor="background1"/>
                <w:spacing w:val="60"/>
                <w:sz w:val="32"/>
              </w:rPr>
              <w:t xml:space="preserve"> 65 </w:t>
            </w:r>
            <w:proofErr w:type="spellStart"/>
            <w:r w:rsidRPr="00316CC9">
              <w:rPr>
                <w:caps w:val="0"/>
                <w:color w:val="FFFFFF" w:themeColor="background1"/>
                <w:spacing w:val="60"/>
                <w:sz w:val="32"/>
              </w:rPr>
              <w:t>kBtuh</w:t>
            </w:r>
            <w:proofErr w:type="spellEnd"/>
            <w:r w:rsidRPr="00713E15">
              <w:rPr>
                <w:color w:val="FFFFFF" w:themeColor="background1"/>
                <w:spacing w:val="60"/>
                <w:sz w:val="32"/>
              </w:rPr>
              <w:t>, Commercial</w:t>
            </w:r>
          </w:p>
          <w:p w14:paraId="10BE1877" w14:textId="4C2F87BE" w:rsidR="00713E15" w:rsidRPr="00713E15" w:rsidRDefault="00713E15" w:rsidP="00B561EE">
            <w:pPr>
              <w:pStyle w:val="eTRMHeading2"/>
              <w:rPr>
                <w:color w:val="FFFFFF" w:themeColor="background1"/>
                <w:spacing w:val="0"/>
                <w:sz w:val="28"/>
              </w:rPr>
            </w:pPr>
            <w:r w:rsidRPr="00713E15">
              <w:rPr>
                <w:color w:val="FFFFFF" w:themeColor="background1"/>
                <w:spacing w:val="0"/>
                <w:sz w:val="28"/>
              </w:rPr>
              <w:t>SWHC014-0</w:t>
            </w:r>
            <w:r w:rsidR="00B37D8A">
              <w:rPr>
                <w:color w:val="FFFFFF" w:themeColor="background1"/>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767E86F7" w14:textId="4179B251" w:rsidR="00543FE7"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543FE7">
        <w:rPr>
          <w:noProof/>
        </w:rPr>
        <w:t>Measure Name</w:t>
      </w:r>
      <w:r w:rsidR="00543FE7">
        <w:rPr>
          <w:noProof/>
        </w:rPr>
        <w:tab/>
      </w:r>
      <w:r w:rsidR="00543FE7">
        <w:rPr>
          <w:noProof/>
        </w:rPr>
        <w:fldChar w:fldCharType="begin"/>
      </w:r>
      <w:r w:rsidR="00543FE7">
        <w:rPr>
          <w:noProof/>
        </w:rPr>
        <w:instrText xml:space="preserve"> PAGEREF _Toc20997192 \h </w:instrText>
      </w:r>
      <w:r w:rsidR="00543FE7">
        <w:rPr>
          <w:noProof/>
        </w:rPr>
      </w:r>
      <w:r w:rsidR="00543FE7">
        <w:rPr>
          <w:noProof/>
        </w:rPr>
        <w:fldChar w:fldCharType="separate"/>
      </w:r>
      <w:r w:rsidR="00543FE7">
        <w:rPr>
          <w:noProof/>
        </w:rPr>
        <w:t>3</w:t>
      </w:r>
      <w:r w:rsidR="00543FE7">
        <w:rPr>
          <w:noProof/>
        </w:rPr>
        <w:fldChar w:fldCharType="end"/>
      </w:r>
    </w:p>
    <w:p w14:paraId="6F0CB7D9" w14:textId="6D68DD8A" w:rsidR="00543FE7" w:rsidRDefault="00543FE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_Toc20997193 \h </w:instrText>
      </w:r>
      <w:r>
        <w:rPr>
          <w:noProof/>
        </w:rPr>
      </w:r>
      <w:r>
        <w:rPr>
          <w:noProof/>
        </w:rPr>
        <w:fldChar w:fldCharType="separate"/>
      </w:r>
      <w:r>
        <w:rPr>
          <w:noProof/>
        </w:rPr>
        <w:t>3</w:t>
      </w:r>
      <w:r>
        <w:rPr>
          <w:noProof/>
        </w:rPr>
        <w:fldChar w:fldCharType="end"/>
      </w:r>
    </w:p>
    <w:p w14:paraId="55F6056E" w14:textId="5897F071" w:rsidR="00543FE7" w:rsidRDefault="00543FE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_Toc20997194 \h </w:instrText>
      </w:r>
      <w:r>
        <w:rPr>
          <w:noProof/>
        </w:rPr>
      </w:r>
      <w:r>
        <w:rPr>
          <w:noProof/>
        </w:rPr>
        <w:fldChar w:fldCharType="separate"/>
      </w:r>
      <w:r>
        <w:rPr>
          <w:noProof/>
        </w:rPr>
        <w:t>3</w:t>
      </w:r>
      <w:r>
        <w:rPr>
          <w:noProof/>
        </w:rPr>
        <w:fldChar w:fldCharType="end"/>
      </w:r>
    </w:p>
    <w:p w14:paraId="5A3B21B4" w14:textId="180B76E3" w:rsidR="00543FE7" w:rsidRDefault="00543FE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_Toc20997195 \h </w:instrText>
      </w:r>
      <w:r>
        <w:rPr>
          <w:noProof/>
        </w:rPr>
      </w:r>
      <w:r>
        <w:rPr>
          <w:noProof/>
        </w:rPr>
        <w:fldChar w:fldCharType="separate"/>
      </w:r>
      <w:r>
        <w:rPr>
          <w:noProof/>
        </w:rPr>
        <w:t>3</w:t>
      </w:r>
      <w:r>
        <w:rPr>
          <w:noProof/>
        </w:rPr>
        <w:fldChar w:fldCharType="end"/>
      </w:r>
    </w:p>
    <w:p w14:paraId="2988E0F1" w14:textId="6AEF5DF9" w:rsidR="00543FE7" w:rsidRDefault="00543FE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_Toc20997196 \h </w:instrText>
      </w:r>
      <w:r>
        <w:rPr>
          <w:noProof/>
        </w:rPr>
      </w:r>
      <w:r>
        <w:rPr>
          <w:noProof/>
        </w:rPr>
        <w:fldChar w:fldCharType="separate"/>
      </w:r>
      <w:r>
        <w:rPr>
          <w:noProof/>
        </w:rPr>
        <w:t>4</w:t>
      </w:r>
      <w:r>
        <w:rPr>
          <w:noProof/>
        </w:rPr>
        <w:fldChar w:fldCharType="end"/>
      </w:r>
    </w:p>
    <w:p w14:paraId="032A3C45" w14:textId="5ADC63F4" w:rsidR="00543FE7" w:rsidRDefault="00543FE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_Toc20997197 \h </w:instrText>
      </w:r>
      <w:r>
        <w:rPr>
          <w:noProof/>
        </w:rPr>
      </w:r>
      <w:r>
        <w:rPr>
          <w:noProof/>
        </w:rPr>
        <w:fldChar w:fldCharType="separate"/>
      </w:r>
      <w:r>
        <w:rPr>
          <w:noProof/>
        </w:rPr>
        <w:t>4</w:t>
      </w:r>
      <w:r>
        <w:rPr>
          <w:noProof/>
        </w:rPr>
        <w:fldChar w:fldCharType="end"/>
      </w:r>
    </w:p>
    <w:p w14:paraId="0656D7D2" w14:textId="0A67CA17" w:rsidR="00543FE7" w:rsidRDefault="00543FE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_Toc20997198 \h </w:instrText>
      </w:r>
      <w:r>
        <w:rPr>
          <w:noProof/>
        </w:rPr>
      </w:r>
      <w:r>
        <w:rPr>
          <w:noProof/>
        </w:rPr>
        <w:fldChar w:fldCharType="separate"/>
      </w:r>
      <w:r>
        <w:rPr>
          <w:noProof/>
        </w:rPr>
        <w:t>5</w:t>
      </w:r>
      <w:r>
        <w:rPr>
          <w:noProof/>
        </w:rPr>
        <w:fldChar w:fldCharType="end"/>
      </w:r>
    </w:p>
    <w:p w14:paraId="4CA241F9" w14:textId="305D9390" w:rsidR="00543FE7" w:rsidRDefault="00543FE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_Toc20997199 \h </w:instrText>
      </w:r>
      <w:r>
        <w:rPr>
          <w:noProof/>
        </w:rPr>
      </w:r>
      <w:r>
        <w:rPr>
          <w:noProof/>
        </w:rPr>
        <w:fldChar w:fldCharType="separate"/>
      </w:r>
      <w:r>
        <w:rPr>
          <w:noProof/>
        </w:rPr>
        <w:t>5</w:t>
      </w:r>
      <w:r>
        <w:rPr>
          <w:noProof/>
        </w:rPr>
        <w:fldChar w:fldCharType="end"/>
      </w:r>
    </w:p>
    <w:p w14:paraId="07C9BE26" w14:textId="13FDFBB5" w:rsidR="00543FE7" w:rsidRDefault="00543FE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_Toc20997200 \h </w:instrText>
      </w:r>
      <w:r>
        <w:rPr>
          <w:noProof/>
        </w:rPr>
      </w:r>
      <w:r>
        <w:rPr>
          <w:noProof/>
        </w:rPr>
        <w:fldChar w:fldCharType="separate"/>
      </w:r>
      <w:r>
        <w:rPr>
          <w:noProof/>
        </w:rPr>
        <w:t>6</w:t>
      </w:r>
      <w:r>
        <w:rPr>
          <w:noProof/>
        </w:rPr>
        <w:fldChar w:fldCharType="end"/>
      </w:r>
    </w:p>
    <w:p w14:paraId="6190740C" w14:textId="33268040" w:rsidR="00543FE7" w:rsidRDefault="00543FE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_Toc20997201 \h </w:instrText>
      </w:r>
      <w:r>
        <w:rPr>
          <w:noProof/>
        </w:rPr>
      </w:r>
      <w:r>
        <w:rPr>
          <w:noProof/>
        </w:rPr>
        <w:fldChar w:fldCharType="separate"/>
      </w:r>
      <w:r>
        <w:rPr>
          <w:noProof/>
        </w:rPr>
        <w:t>6</w:t>
      </w:r>
      <w:r>
        <w:rPr>
          <w:noProof/>
        </w:rPr>
        <w:fldChar w:fldCharType="end"/>
      </w:r>
    </w:p>
    <w:p w14:paraId="7DC0CBB2" w14:textId="408B221D" w:rsidR="00543FE7" w:rsidRDefault="00543FE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_Toc20997202 \h </w:instrText>
      </w:r>
      <w:r>
        <w:rPr>
          <w:noProof/>
        </w:rPr>
      </w:r>
      <w:r>
        <w:rPr>
          <w:noProof/>
        </w:rPr>
        <w:fldChar w:fldCharType="separate"/>
      </w:r>
      <w:r>
        <w:rPr>
          <w:noProof/>
        </w:rPr>
        <w:t>7</w:t>
      </w:r>
      <w:r>
        <w:rPr>
          <w:noProof/>
        </w:rPr>
        <w:fldChar w:fldCharType="end"/>
      </w:r>
    </w:p>
    <w:p w14:paraId="6853559C" w14:textId="72E4A321" w:rsidR="00543FE7" w:rsidRDefault="00543FE7">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_Toc20997203 \h </w:instrText>
      </w:r>
      <w:r>
        <w:rPr>
          <w:noProof/>
        </w:rPr>
      </w:r>
      <w:r>
        <w:rPr>
          <w:noProof/>
        </w:rPr>
        <w:fldChar w:fldCharType="separate"/>
      </w:r>
      <w:r>
        <w:rPr>
          <w:noProof/>
        </w:rPr>
        <w:t>7</w:t>
      </w:r>
      <w:r>
        <w:rPr>
          <w:noProof/>
        </w:rPr>
        <w:fldChar w:fldCharType="end"/>
      </w:r>
    </w:p>
    <w:p w14:paraId="60083BE1" w14:textId="29735E9F" w:rsidR="00543FE7" w:rsidRDefault="00543FE7">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_Toc20997204 \h </w:instrText>
      </w:r>
      <w:r>
        <w:rPr>
          <w:noProof/>
        </w:rPr>
      </w:r>
      <w:r>
        <w:rPr>
          <w:noProof/>
        </w:rPr>
        <w:fldChar w:fldCharType="separate"/>
      </w:r>
      <w:r>
        <w:rPr>
          <w:noProof/>
        </w:rPr>
        <w:t>9</w:t>
      </w:r>
      <w:r>
        <w:rPr>
          <w:noProof/>
        </w:rPr>
        <w:fldChar w:fldCharType="end"/>
      </w:r>
    </w:p>
    <w:p w14:paraId="36EE0A65" w14:textId="092D70C9" w:rsidR="00543FE7" w:rsidRDefault="00543FE7">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_Toc20997205 \h </w:instrText>
      </w:r>
      <w:r>
        <w:rPr>
          <w:noProof/>
        </w:rPr>
      </w:r>
      <w:r>
        <w:rPr>
          <w:noProof/>
        </w:rPr>
        <w:fldChar w:fldCharType="separate"/>
      </w:r>
      <w:r>
        <w:rPr>
          <w:noProof/>
        </w:rPr>
        <w:t>9</w:t>
      </w:r>
      <w:r>
        <w:rPr>
          <w:noProof/>
        </w:rPr>
        <w:fldChar w:fldCharType="end"/>
      </w:r>
    </w:p>
    <w:p w14:paraId="65118E7E" w14:textId="71FC7E8C" w:rsidR="00543FE7" w:rsidRDefault="00543FE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_Toc20997206 \h </w:instrText>
      </w:r>
      <w:r>
        <w:rPr>
          <w:noProof/>
        </w:rPr>
      </w:r>
      <w:r>
        <w:rPr>
          <w:noProof/>
        </w:rPr>
        <w:fldChar w:fldCharType="separate"/>
      </w:r>
      <w:r>
        <w:rPr>
          <w:noProof/>
        </w:rPr>
        <w:t>9</w:t>
      </w:r>
      <w:r>
        <w:rPr>
          <w:noProof/>
        </w:rPr>
        <w:fldChar w:fldCharType="end"/>
      </w:r>
    </w:p>
    <w:p w14:paraId="6D9474C0" w14:textId="0BD4C21A" w:rsidR="00543FE7" w:rsidRDefault="00543FE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_Toc20997207 \h </w:instrText>
      </w:r>
      <w:r>
        <w:rPr>
          <w:noProof/>
        </w:rPr>
      </w:r>
      <w:r>
        <w:rPr>
          <w:noProof/>
        </w:rPr>
        <w:fldChar w:fldCharType="separate"/>
      </w:r>
      <w:r>
        <w:rPr>
          <w:noProof/>
        </w:rPr>
        <w:t>10</w:t>
      </w:r>
      <w:r>
        <w:rPr>
          <w:noProof/>
        </w:rPr>
        <w:fldChar w:fldCharType="end"/>
      </w:r>
    </w:p>
    <w:p w14:paraId="734FE90D" w14:textId="3DB81F76" w:rsidR="00543FE7" w:rsidRDefault="00543FE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_Toc20997208 \h </w:instrText>
      </w:r>
      <w:r>
        <w:rPr>
          <w:noProof/>
        </w:rPr>
      </w:r>
      <w:r>
        <w:rPr>
          <w:noProof/>
        </w:rPr>
        <w:fldChar w:fldCharType="separate"/>
      </w:r>
      <w:r>
        <w:rPr>
          <w:noProof/>
        </w:rPr>
        <w:t>10</w:t>
      </w:r>
      <w:r>
        <w:rPr>
          <w:noProof/>
        </w:rPr>
        <w:fldChar w:fldCharType="end"/>
      </w:r>
    </w:p>
    <w:p w14:paraId="5BAC88F0" w14:textId="321CDA59" w:rsidR="00543FE7" w:rsidRDefault="00543FE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_Toc20997209 \h </w:instrText>
      </w:r>
      <w:r>
        <w:rPr>
          <w:noProof/>
        </w:rPr>
      </w:r>
      <w:r>
        <w:rPr>
          <w:noProof/>
        </w:rPr>
        <w:fldChar w:fldCharType="separate"/>
      </w:r>
      <w:r>
        <w:rPr>
          <w:noProof/>
        </w:rPr>
        <w:t>10</w:t>
      </w:r>
      <w:r>
        <w:rPr>
          <w:noProof/>
        </w:rPr>
        <w:fldChar w:fldCharType="end"/>
      </w:r>
    </w:p>
    <w:p w14:paraId="050E4AB7" w14:textId="28162174" w:rsidR="00543FE7" w:rsidRDefault="00543FE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_Toc20997210 \h </w:instrText>
      </w:r>
      <w:r>
        <w:rPr>
          <w:noProof/>
        </w:rPr>
      </w:r>
      <w:r>
        <w:rPr>
          <w:noProof/>
        </w:rPr>
        <w:fldChar w:fldCharType="separate"/>
      </w:r>
      <w:r>
        <w:rPr>
          <w:noProof/>
        </w:rPr>
        <w:t>11</w:t>
      </w:r>
      <w:r>
        <w:rPr>
          <w:noProof/>
        </w:rPr>
        <w:fldChar w:fldCharType="end"/>
      </w:r>
    </w:p>
    <w:p w14:paraId="1054F4B2" w14:textId="04EDE399" w:rsidR="00543FE7" w:rsidRDefault="00543FE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_Toc20997211 \h </w:instrText>
      </w:r>
      <w:r>
        <w:rPr>
          <w:noProof/>
        </w:rPr>
      </w:r>
      <w:r>
        <w:rPr>
          <w:noProof/>
        </w:rPr>
        <w:fldChar w:fldCharType="separate"/>
      </w:r>
      <w:r>
        <w:rPr>
          <w:noProof/>
        </w:rPr>
        <w:t>11</w:t>
      </w:r>
      <w:r>
        <w:rPr>
          <w:noProof/>
        </w:rPr>
        <w:fldChar w:fldCharType="end"/>
      </w:r>
    </w:p>
    <w:p w14:paraId="263C1C91" w14:textId="163892C4" w:rsidR="00543FE7" w:rsidRDefault="00543FE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_Toc20997212 \h </w:instrText>
      </w:r>
      <w:r>
        <w:rPr>
          <w:noProof/>
        </w:rPr>
      </w:r>
      <w:r>
        <w:rPr>
          <w:noProof/>
        </w:rPr>
        <w:fldChar w:fldCharType="separate"/>
      </w:r>
      <w:r>
        <w:rPr>
          <w:noProof/>
        </w:rPr>
        <w:t>11</w:t>
      </w:r>
      <w:r>
        <w:rPr>
          <w:noProof/>
        </w:rPr>
        <w:fldChar w:fldCharType="end"/>
      </w:r>
    </w:p>
    <w:p w14:paraId="6B20C096" w14:textId="72A6B5FF" w:rsidR="00543FE7" w:rsidRDefault="00543FE7">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_Toc20997213 \h </w:instrText>
      </w:r>
      <w:r>
        <w:rPr>
          <w:noProof/>
        </w:rPr>
      </w:r>
      <w:r>
        <w:rPr>
          <w:noProof/>
        </w:rPr>
        <w:fldChar w:fldCharType="separate"/>
      </w:r>
      <w:r>
        <w:rPr>
          <w:noProof/>
        </w:rPr>
        <w:t>11</w:t>
      </w:r>
      <w:r>
        <w:rPr>
          <w:noProof/>
        </w:rPr>
        <w:fldChar w:fldCharType="end"/>
      </w:r>
    </w:p>
    <w:p w14:paraId="6289397E" w14:textId="055B1B20" w:rsidR="00543FE7" w:rsidRDefault="00543FE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_Toc20997214 \h </w:instrText>
      </w:r>
      <w:r>
        <w:rPr>
          <w:noProof/>
        </w:rPr>
      </w:r>
      <w:r>
        <w:rPr>
          <w:noProof/>
        </w:rPr>
        <w:fldChar w:fldCharType="separate"/>
      </w:r>
      <w:r>
        <w:rPr>
          <w:noProof/>
        </w:rPr>
        <w:t>11</w:t>
      </w:r>
      <w:r>
        <w:rPr>
          <w:noProof/>
        </w:rPr>
        <w:fldChar w:fldCharType="end"/>
      </w:r>
    </w:p>
    <w:p w14:paraId="456F927B" w14:textId="6C3586C7" w:rsidR="00543FE7" w:rsidRDefault="00543FE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_Toc20997215 \h </w:instrText>
      </w:r>
      <w:r>
        <w:rPr>
          <w:noProof/>
        </w:rPr>
      </w:r>
      <w:r>
        <w:rPr>
          <w:noProof/>
        </w:rPr>
        <w:fldChar w:fldCharType="separate"/>
      </w:r>
      <w:r>
        <w:rPr>
          <w:noProof/>
        </w:rPr>
        <w:t>12</w:t>
      </w:r>
      <w:r>
        <w:rPr>
          <w:noProof/>
        </w:rPr>
        <w:fldChar w:fldCharType="end"/>
      </w:r>
    </w:p>
    <w:p w14:paraId="4C194BAF" w14:textId="5208F873" w:rsidR="001C6C9B" w:rsidRPr="00D12B8C" w:rsidRDefault="001C6C9B" w:rsidP="00071BB7">
      <w:pPr>
        <w:pStyle w:val="TOC3"/>
      </w:pPr>
      <w:r>
        <w:fldChar w:fldCharType="end"/>
      </w:r>
    </w:p>
    <w:p w14:paraId="7DD78D3A" w14:textId="77777777" w:rsidR="007E1F66" w:rsidRDefault="007E1F66" w:rsidP="00462BB6">
      <w:pPr>
        <w:pStyle w:val="eTRMHeading3"/>
        <w:sectPr w:rsidR="007E1F66" w:rsidSect="00181E0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20997192"/>
      <w:r w:rsidRPr="007E1F66">
        <w:lastRenderedPageBreak/>
        <w:t>Measure Name</w:t>
      </w:r>
      <w:bookmarkEnd w:id="0"/>
      <w:bookmarkEnd w:id="1"/>
      <w:bookmarkEnd w:id="2"/>
    </w:p>
    <w:p w14:paraId="4EAED972" w14:textId="7D8740B5" w:rsidR="00871123" w:rsidRDefault="003326EC" w:rsidP="003326EC">
      <w:r>
        <w:t xml:space="preserve">Unitary Air-Cooled </w:t>
      </w:r>
      <w:r w:rsidR="00713E15">
        <w:t>Air Conditioner</w:t>
      </w:r>
      <w:r>
        <w:t xml:space="preserve"> </w:t>
      </w:r>
      <w:r w:rsidR="00713E15">
        <w:t>or</w:t>
      </w:r>
      <w:r>
        <w:t xml:space="preserve"> Heat Pump, </w:t>
      </w:r>
      <w:r>
        <w:rPr>
          <w:rFonts w:cs="Calibri Light"/>
        </w:rPr>
        <w:t>&lt;</w:t>
      </w:r>
      <w:r>
        <w:t xml:space="preserve"> 65 </w:t>
      </w:r>
      <w:proofErr w:type="spellStart"/>
      <w:r>
        <w:t>kBtuh</w:t>
      </w:r>
      <w:proofErr w:type="spellEnd"/>
      <w:r>
        <w:t>, Commercial</w:t>
      </w:r>
    </w:p>
    <w:p w14:paraId="4B8C7002" w14:textId="77777777" w:rsidR="003326EC" w:rsidRPr="00401C43" w:rsidRDefault="003326EC" w:rsidP="003326EC"/>
    <w:p w14:paraId="6406A9D4" w14:textId="77777777" w:rsidR="00871123" w:rsidRPr="00074E3E" w:rsidRDefault="00871123" w:rsidP="00462BB6">
      <w:pPr>
        <w:pStyle w:val="eTRMHeading3"/>
        <w:spacing w:before="20" w:after="20"/>
      </w:pPr>
      <w:bookmarkStart w:id="3" w:name="_Toc486490840"/>
      <w:bookmarkStart w:id="4" w:name="_Toc486580913"/>
      <w:bookmarkStart w:id="5" w:name="_Toc20997193"/>
      <w:r>
        <w:t>Statewide Measure ID</w:t>
      </w:r>
      <w:bookmarkEnd w:id="3"/>
      <w:bookmarkEnd w:id="4"/>
      <w:bookmarkEnd w:id="5"/>
    </w:p>
    <w:p w14:paraId="2B553EA2" w14:textId="09676480" w:rsidR="00871123" w:rsidRDefault="00713E15" w:rsidP="00713E15">
      <w:r>
        <w:t>SWHC014-0</w:t>
      </w:r>
      <w:r w:rsidR="00112AAF">
        <w:t>2</w:t>
      </w:r>
    </w:p>
    <w:p w14:paraId="0B777D1B" w14:textId="77777777" w:rsidR="00713E15" w:rsidRPr="00462BB6" w:rsidRDefault="00713E15" w:rsidP="00713E15"/>
    <w:p w14:paraId="0F7CA2E6" w14:textId="77777777" w:rsidR="00E70CBD" w:rsidRPr="00154391" w:rsidRDefault="00E70CBD" w:rsidP="00462BB6">
      <w:pPr>
        <w:pStyle w:val="eTRMHeading3"/>
      </w:pPr>
      <w:bookmarkStart w:id="6" w:name="_Toc486490847"/>
      <w:bookmarkStart w:id="7" w:name="_Toc486580918"/>
      <w:bookmarkStart w:id="8" w:name="_Toc20997194"/>
      <w:r w:rsidRPr="00154391">
        <w:t>Technology Summary</w:t>
      </w:r>
      <w:bookmarkEnd w:id="6"/>
      <w:bookmarkEnd w:id="7"/>
      <w:bookmarkEnd w:id="8"/>
      <w:r w:rsidRPr="00154391">
        <w:t xml:space="preserve"> </w:t>
      </w:r>
    </w:p>
    <w:p w14:paraId="3EA007CB" w14:textId="05D56F74" w:rsidR="00A9552A" w:rsidRDefault="00A9552A" w:rsidP="00A9552A">
      <w:pPr>
        <w:spacing w:line="241" w:lineRule="auto"/>
        <w:ind w:right="20"/>
      </w:pPr>
      <w:bookmarkStart w:id="9" w:name="_Toc486490848"/>
      <w:bookmarkStart w:id="10" w:name="_Toc486580919"/>
      <w:r>
        <w:t xml:space="preserve">A unitary system is an air conditioning system that cools one or a few spaces, in contrast to a centralized system where a chiller serves most or </w:t>
      </w:r>
      <w:proofErr w:type="gramStart"/>
      <w:r>
        <w:t>all of</w:t>
      </w:r>
      <w:proofErr w:type="gramEnd"/>
      <w:r>
        <w:t xml:space="preserve"> the building. A unitary system uses direct expansion</w:t>
      </w:r>
      <w:r w:rsidR="008F2505">
        <w:t xml:space="preserve"> (DX)</w:t>
      </w:r>
      <w:r>
        <w:t xml:space="preserve">, is typically factory designed, and is available as a packaged or split system for commercial use. A split system consists of an indoor unit (fan, cooling coil, heating elements, filter) connected by refrigerant piping to an outdoor unit (fan, compressor, condenser, expansion valve). A packaged system incorporates all the </w:t>
      </w:r>
      <w:r w:rsidR="00EA16EB">
        <w:t>components</w:t>
      </w:r>
      <w:r>
        <w:t xml:space="preserve"> into a single unit that is typically mounted on </w:t>
      </w:r>
      <w:r w:rsidR="00EA16EB">
        <w:t>a</w:t>
      </w:r>
      <w:r>
        <w:t xml:space="preserve"> roof. Heat pumps allow the refrigeration cycle to run in reverse and can therefore provide </w:t>
      </w:r>
      <w:r w:rsidR="00EA16EB">
        <w:t xml:space="preserve">both </w:t>
      </w:r>
      <w:r>
        <w:t xml:space="preserve">heating </w:t>
      </w:r>
      <w:proofErr w:type="gramStart"/>
      <w:r>
        <w:t>or</w:t>
      </w:r>
      <w:proofErr w:type="gramEnd"/>
      <w:r>
        <w:t xml:space="preserve"> cooling </w:t>
      </w:r>
      <w:r w:rsidR="00EA16EB">
        <w:t>for a</w:t>
      </w:r>
      <w:r>
        <w:t xml:space="preserve"> conditioned space.</w:t>
      </w:r>
    </w:p>
    <w:p w14:paraId="3E7F8F0F" w14:textId="77777777" w:rsidR="00A9552A" w:rsidRDefault="00A9552A" w:rsidP="00EA16EB"/>
    <w:p w14:paraId="5AF18021" w14:textId="794DF366" w:rsidR="007D230B" w:rsidRPr="004B06E3" w:rsidRDefault="007D230B" w:rsidP="00462BB6">
      <w:pPr>
        <w:pStyle w:val="eTRMHeading3"/>
      </w:pPr>
      <w:bookmarkStart w:id="11" w:name="_Toc20997195"/>
      <w:r w:rsidRPr="004B06E3">
        <w:t>Measure Case Description</w:t>
      </w:r>
      <w:bookmarkEnd w:id="9"/>
      <w:bookmarkEnd w:id="10"/>
      <w:bookmarkEnd w:id="11"/>
    </w:p>
    <w:p w14:paraId="35801BCA" w14:textId="56B75087" w:rsidR="00D73DD3" w:rsidRDefault="00D73DD3" w:rsidP="00D73DD3">
      <w:bookmarkStart w:id="12" w:name="_Ref492884741"/>
      <w:r>
        <w:t xml:space="preserve">The measure case is defined as an air-cooled air </w:t>
      </w:r>
      <w:r w:rsidR="008B4F79">
        <w:t>conditioner</w:t>
      </w:r>
      <w:r>
        <w:t xml:space="preserve"> or heat pump with a cooling capacity &lt; 65 </w:t>
      </w:r>
      <w:proofErr w:type="spellStart"/>
      <w:r>
        <w:t>kBtuh</w:t>
      </w:r>
      <w:proofErr w:type="spellEnd"/>
      <w:r>
        <w:t>, installed in a nonresidential building. The minimum efficiency requirements of measure offerings are specified below.</w:t>
      </w:r>
    </w:p>
    <w:bookmarkEnd w:id="12"/>
    <w:p w14:paraId="41F6AF97" w14:textId="0D507DD0" w:rsidR="002A24E2" w:rsidRDefault="002A24E2" w:rsidP="002A24E2">
      <w:pPr>
        <w:pStyle w:val="Caption"/>
      </w:pPr>
      <w:r>
        <w:t>Measure Case Specification</w:t>
      </w:r>
    </w:p>
    <w:tbl>
      <w:tblPr>
        <w:tblW w:w="6851"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21"/>
        <w:gridCol w:w="2064"/>
        <w:gridCol w:w="1584"/>
        <w:gridCol w:w="1782"/>
      </w:tblGrid>
      <w:tr w:rsidR="00C9619C" w:rsidRPr="00C9619C" w14:paraId="35DB83C8" w14:textId="77777777" w:rsidTr="005434A9">
        <w:trPr>
          <w:cantSplit/>
          <w:trHeight w:val="20"/>
          <w:tblHeader/>
        </w:trPr>
        <w:tc>
          <w:tcPr>
            <w:tcW w:w="1421" w:type="dxa"/>
            <w:shd w:val="clear" w:color="auto" w:fill="F2F2F2" w:themeFill="background1" w:themeFillShade="F2"/>
            <w:noWrap/>
            <w:vAlign w:val="bottom"/>
          </w:tcPr>
          <w:p w14:paraId="522E8555" w14:textId="7AC1067D"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Unit Type</w:t>
            </w:r>
          </w:p>
        </w:tc>
        <w:tc>
          <w:tcPr>
            <w:tcW w:w="2064" w:type="dxa"/>
            <w:shd w:val="clear" w:color="auto" w:fill="F2F2F2" w:themeFill="background1" w:themeFillShade="F2"/>
            <w:noWrap/>
            <w:vAlign w:val="bottom"/>
          </w:tcPr>
          <w:p w14:paraId="5DBDDC7A" w14:textId="5A22DF45"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Cooling Capacity Range (</w:t>
            </w:r>
            <w:proofErr w:type="spellStart"/>
            <w:r w:rsidRPr="00C9619C">
              <w:rPr>
                <w:rFonts w:cs="Calibri Light"/>
                <w:b/>
                <w:sz w:val="20"/>
                <w:szCs w:val="20"/>
              </w:rPr>
              <w:t>kBtuh</w:t>
            </w:r>
            <w:proofErr w:type="spellEnd"/>
            <w:r w:rsidRPr="00C9619C">
              <w:rPr>
                <w:rFonts w:cs="Calibri Light"/>
                <w:b/>
                <w:sz w:val="20"/>
                <w:szCs w:val="20"/>
              </w:rPr>
              <w:t>)</w:t>
            </w:r>
          </w:p>
        </w:tc>
        <w:tc>
          <w:tcPr>
            <w:tcW w:w="1584" w:type="dxa"/>
            <w:shd w:val="clear" w:color="auto" w:fill="F2F2F2" w:themeFill="background1" w:themeFillShade="F2"/>
            <w:noWrap/>
            <w:vAlign w:val="bottom"/>
          </w:tcPr>
          <w:p w14:paraId="57C022EA" w14:textId="06DC4FA2"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Seasonal Energy Efficiency Rating (SEER)</w:t>
            </w:r>
          </w:p>
        </w:tc>
        <w:tc>
          <w:tcPr>
            <w:tcW w:w="1782" w:type="dxa"/>
            <w:shd w:val="clear" w:color="auto" w:fill="F2F2F2" w:themeFill="background1" w:themeFillShade="F2"/>
            <w:noWrap/>
            <w:vAlign w:val="bottom"/>
          </w:tcPr>
          <w:p w14:paraId="010848BF" w14:textId="5096ACF3"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Pre-economizer</w:t>
            </w:r>
            <w:r>
              <w:rPr>
                <w:rFonts w:cs="Calibri Light"/>
                <w:b/>
                <w:sz w:val="20"/>
                <w:szCs w:val="20"/>
              </w:rPr>
              <w:t>?</w:t>
            </w:r>
          </w:p>
        </w:tc>
      </w:tr>
      <w:tr w:rsidR="00C9619C" w:rsidRPr="00C9619C" w14:paraId="2A143AD1" w14:textId="77777777" w:rsidTr="005434A9">
        <w:trPr>
          <w:cantSplit/>
          <w:trHeight w:val="20"/>
        </w:trPr>
        <w:tc>
          <w:tcPr>
            <w:tcW w:w="1421" w:type="dxa"/>
            <w:shd w:val="clear" w:color="auto" w:fill="auto"/>
            <w:noWrap/>
            <w:vAlign w:val="bottom"/>
            <w:hideMark/>
          </w:tcPr>
          <w:p w14:paraId="6E29CE73" w14:textId="77777777" w:rsidR="00C9619C" w:rsidRPr="00C9619C" w:rsidRDefault="00C9619C" w:rsidP="00EA16EB">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54E21580" w14:textId="5A119A78"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005FB5EE" w14:textId="65BA21E5"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72D32A8C" w14:textId="5D9497B1" w:rsidR="00C9619C" w:rsidRPr="00C9619C" w:rsidRDefault="00C9619C" w:rsidP="00EA16EB">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4316C3D7" w14:textId="77777777" w:rsidTr="005434A9">
        <w:trPr>
          <w:cantSplit/>
          <w:trHeight w:val="20"/>
        </w:trPr>
        <w:tc>
          <w:tcPr>
            <w:tcW w:w="1421" w:type="dxa"/>
            <w:shd w:val="clear" w:color="auto" w:fill="auto"/>
            <w:noWrap/>
            <w:vAlign w:val="bottom"/>
            <w:hideMark/>
          </w:tcPr>
          <w:p w14:paraId="652132D3" w14:textId="4D634819" w:rsidR="00C9619C" w:rsidRPr="00C9619C" w:rsidRDefault="00C9619C" w:rsidP="00EA16EB">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45A7ACC2" w14:textId="2A01CA7E"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4C9B5BBA" w14:textId="6715E9EB"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7F1AD2D2" w14:textId="288C4EB3" w:rsidR="00C9619C" w:rsidRPr="00C9619C" w:rsidRDefault="00C9619C" w:rsidP="00EA16EB">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7DB81756" w14:textId="77777777" w:rsidTr="005434A9">
        <w:trPr>
          <w:cantSplit/>
          <w:trHeight w:val="20"/>
        </w:trPr>
        <w:tc>
          <w:tcPr>
            <w:tcW w:w="1421" w:type="dxa"/>
            <w:shd w:val="clear" w:color="auto" w:fill="auto"/>
            <w:noWrap/>
            <w:vAlign w:val="bottom"/>
            <w:hideMark/>
          </w:tcPr>
          <w:p w14:paraId="5B63EB31" w14:textId="74D1CB8F" w:rsidR="00C9619C" w:rsidRPr="00C9619C" w:rsidRDefault="00C9619C" w:rsidP="00EA16EB">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234299B5" w14:textId="2B5F0B18"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4D0F859A" w14:textId="136F3A1A"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67853E68" w14:textId="29B3E3FF" w:rsidR="00C9619C" w:rsidRPr="00C9619C" w:rsidRDefault="00C9619C" w:rsidP="00EA16EB">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6DDEB91A" w14:textId="77777777" w:rsidTr="005434A9">
        <w:trPr>
          <w:cantSplit/>
          <w:trHeight w:val="20"/>
        </w:trPr>
        <w:tc>
          <w:tcPr>
            <w:tcW w:w="1421" w:type="dxa"/>
            <w:shd w:val="clear" w:color="auto" w:fill="auto"/>
            <w:noWrap/>
            <w:vAlign w:val="bottom"/>
            <w:hideMark/>
          </w:tcPr>
          <w:p w14:paraId="1A642C3D" w14:textId="2F7B1D0B" w:rsidR="00C9619C" w:rsidRPr="00C9619C" w:rsidRDefault="00C9619C" w:rsidP="00EA16EB">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1001EC84" w14:textId="4B1D36C8"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34DB3AF4" w14:textId="0D1BEF57" w:rsidR="00C9619C" w:rsidRPr="00C9619C" w:rsidRDefault="00C9619C" w:rsidP="00EA16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5971628E" w14:textId="753E859A" w:rsidR="00C9619C" w:rsidRPr="00C9619C" w:rsidRDefault="00C9619C" w:rsidP="00EA16EB">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7633BB04" w14:textId="77777777" w:rsidTr="005434A9">
        <w:trPr>
          <w:cantSplit/>
          <w:trHeight w:val="20"/>
        </w:trPr>
        <w:tc>
          <w:tcPr>
            <w:tcW w:w="1421" w:type="dxa"/>
            <w:shd w:val="clear" w:color="auto" w:fill="auto"/>
            <w:noWrap/>
            <w:vAlign w:val="bottom"/>
            <w:hideMark/>
          </w:tcPr>
          <w:p w14:paraId="146FFA48" w14:textId="2115FEA6"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26E15BEC" w14:textId="29B3094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14:paraId="2E903651" w14:textId="0265F575"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6D808323" w14:textId="7A984839"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200AE21" w14:textId="77777777" w:rsidTr="005434A9">
        <w:trPr>
          <w:cantSplit/>
          <w:trHeight w:val="20"/>
        </w:trPr>
        <w:tc>
          <w:tcPr>
            <w:tcW w:w="1421" w:type="dxa"/>
            <w:shd w:val="clear" w:color="auto" w:fill="auto"/>
            <w:noWrap/>
            <w:vAlign w:val="bottom"/>
            <w:hideMark/>
          </w:tcPr>
          <w:p w14:paraId="04DD0FE6" w14:textId="63D6DD00"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2FB7A29A" w14:textId="093B6A35"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14:paraId="32E5C2B1" w14:textId="63CE4DD4"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336AC47D" w14:textId="095A3BDD"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5D61B9DD" w14:textId="77777777" w:rsidTr="005434A9">
        <w:trPr>
          <w:cantSplit/>
          <w:trHeight w:val="20"/>
        </w:trPr>
        <w:tc>
          <w:tcPr>
            <w:tcW w:w="1421" w:type="dxa"/>
            <w:shd w:val="clear" w:color="auto" w:fill="auto"/>
            <w:noWrap/>
            <w:vAlign w:val="bottom"/>
            <w:hideMark/>
          </w:tcPr>
          <w:p w14:paraId="2452F796" w14:textId="44E939C4"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1DF0E97F" w14:textId="3963DC97"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14:paraId="3E3A62DC" w14:textId="455DACC2"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60EF74D3" w14:textId="423F2A62"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54AB3EDE" w14:textId="77777777" w:rsidTr="005434A9">
        <w:trPr>
          <w:cantSplit/>
          <w:trHeight w:val="20"/>
        </w:trPr>
        <w:tc>
          <w:tcPr>
            <w:tcW w:w="1421" w:type="dxa"/>
            <w:shd w:val="clear" w:color="auto" w:fill="auto"/>
            <w:noWrap/>
            <w:vAlign w:val="bottom"/>
            <w:hideMark/>
          </w:tcPr>
          <w:p w14:paraId="46BDED19" w14:textId="4259FC34"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14:paraId="7F3DAF98" w14:textId="743EBB3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14:paraId="7C866069" w14:textId="75DD4C5E"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4A2DA8A3" w14:textId="055F279E"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13A7245E" w14:textId="77777777" w:rsidTr="005434A9">
        <w:trPr>
          <w:cantSplit/>
          <w:trHeight w:val="20"/>
        </w:trPr>
        <w:tc>
          <w:tcPr>
            <w:tcW w:w="1421" w:type="dxa"/>
            <w:shd w:val="clear" w:color="auto" w:fill="auto"/>
            <w:noWrap/>
            <w:vAlign w:val="bottom"/>
            <w:hideMark/>
          </w:tcPr>
          <w:p w14:paraId="018CFF41" w14:textId="112D353B"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1929142B" w14:textId="580680AA"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14:paraId="57F767E6" w14:textId="5CDE713F"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4959C353" w14:textId="6B826070"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6FEDCAF1" w14:textId="77777777" w:rsidTr="005434A9">
        <w:trPr>
          <w:cantSplit/>
          <w:trHeight w:val="20"/>
        </w:trPr>
        <w:tc>
          <w:tcPr>
            <w:tcW w:w="1421" w:type="dxa"/>
            <w:shd w:val="clear" w:color="auto" w:fill="auto"/>
            <w:noWrap/>
            <w:vAlign w:val="bottom"/>
            <w:hideMark/>
          </w:tcPr>
          <w:p w14:paraId="0E2ADC21" w14:textId="0E5FBFD9"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1D4B9763" w14:textId="134F96FF"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14:paraId="77FB69AF" w14:textId="380301B2"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03124BAD" w14:textId="03BA8B72"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152810BF" w14:textId="77777777" w:rsidTr="005434A9">
        <w:trPr>
          <w:cantSplit/>
          <w:trHeight w:val="20"/>
        </w:trPr>
        <w:tc>
          <w:tcPr>
            <w:tcW w:w="1421" w:type="dxa"/>
            <w:shd w:val="clear" w:color="auto" w:fill="auto"/>
            <w:noWrap/>
            <w:vAlign w:val="bottom"/>
            <w:hideMark/>
          </w:tcPr>
          <w:p w14:paraId="108F6802" w14:textId="0A4FB024"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6895C0DB" w14:textId="6252DD83"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14:paraId="5414913C" w14:textId="457054F1"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3414986B" w14:textId="2684577A"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7AD94F1" w14:textId="77777777" w:rsidTr="005434A9">
        <w:trPr>
          <w:cantSplit/>
          <w:trHeight w:val="20"/>
        </w:trPr>
        <w:tc>
          <w:tcPr>
            <w:tcW w:w="1421" w:type="dxa"/>
            <w:shd w:val="clear" w:color="auto" w:fill="auto"/>
            <w:noWrap/>
            <w:vAlign w:val="bottom"/>
            <w:hideMark/>
          </w:tcPr>
          <w:p w14:paraId="3D173AFD" w14:textId="2E25136B"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3F3EE050" w14:textId="1004CC5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14:paraId="6A30462F" w14:textId="6240C06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59017335" w14:textId="3E1CAC9A"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33D98369" w14:textId="77777777" w:rsidTr="005434A9">
        <w:trPr>
          <w:cantSplit/>
          <w:trHeight w:val="20"/>
        </w:trPr>
        <w:tc>
          <w:tcPr>
            <w:tcW w:w="1421" w:type="dxa"/>
            <w:shd w:val="clear" w:color="auto" w:fill="auto"/>
            <w:noWrap/>
            <w:vAlign w:val="bottom"/>
            <w:hideMark/>
          </w:tcPr>
          <w:p w14:paraId="4937AF7A" w14:textId="5F66CE81"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7853B18F" w14:textId="2D4A154A"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45 - 55</w:t>
            </w:r>
          </w:p>
        </w:tc>
        <w:tc>
          <w:tcPr>
            <w:tcW w:w="1584" w:type="dxa"/>
            <w:shd w:val="clear" w:color="auto" w:fill="auto"/>
            <w:noWrap/>
            <w:vAlign w:val="bottom"/>
            <w:hideMark/>
          </w:tcPr>
          <w:p w14:paraId="3DCFBDC6" w14:textId="72360CD3"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65B03476" w14:textId="6D165C25"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1289B53A" w14:textId="77777777" w:rsidTr="005434A9">
        <w:trPr>
          <w:cantSplit/>
          <w:trHeight w:val="20"/>
        </w:trPr>
        <w:tc>
          <w:tcPr>
            <w:tcW w:w="1421" w:type="dxa"/>
            <w:shd w:val="clear" w:color="auto" w:fill="auto"/>
            <w:noWrap/>
            <w:vAlign w:val="bottom"/>
            <w:hideMark/>
          </w:tcPr>
          <w:p w14:paraId="3A93263E" w14:textId="060D1484"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3A2EDCDC" w14:textId="6B12444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45 - 55</w:t>
            </w:r>
          </w:p>
        </w:tc>
        <w:tc>
          <w:tcPr>
            <w:tcW w:w="1584" w:type="dxa"/>
            <w:shd w:val="clear" w:color="auto" w:fill="auto"/>
            <w:noWrap/>
            <w:vAlign w:val="bottom"/>
            <w:hideMark/>
          </w:tcPr>
          <w:p w14:paraId="32DBB093" w14:textId="21EBAC41"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3111CA46" w14:textId="0DD9ED3B"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573F08EF" w14:textId="77777777" w:rsidTr="005434A9">
        <w:trPr>
          <w:cantSplit/>
          <w:trHeight w:val="20"/>
        </w:trPr>
        <w:tc>
          <w:tcPr>
            <w:tcW w:w="1421" w:type="dxa"/>
            <w:shd w:val="clear" w:color="auto" w:fill="auto"/>
            <w:noWrap/>
            <w:vAlign w:val="bottom"/>
            <w:hideMark/>
          </w:tcPr>
          <w:p w14:paraId="47FA24B9" w14:textId="3ED8C3C6"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625F9EF4" w14:textId="19D496D8"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45 </w:t>
            </w:r>
            <w:r w:rsidR="00FE0E71">
              <w:rPr>
                <w:rFonts w:eastAsia="Times New Roman" w:cs="Calibri Light"/>
                <w:color w:val="000000"/>
                <w:sz w:val="20"/>
                <w:szCs w:val="20"/>
              </w:rPr>
              <w:t>-</w:t>
            </w:r>
            <w:r w:rsidR="00FE0E71" w:rsidRPr="00C9619C">
              <w:rPr>
                <w:rFonts w:eastAsia="Times New Roman" w:cs="Calibri Light"/>
                <w:color w:val="000000"/>
                <w:sz w:val="20"/>
                <w:szCs w:val="20"/>
              </w:rPr>
              <w:t xml:space="preserve"> </w:t>
            </w:r>
            <w:r w:rsidRPr="00C9619C">
              <w:rPr>
                <w:rFonts w:eastAsia="Times New Roman" w:cs="Calibri Light"/>
                <w:color w:val="000000"/>
                <w:sz w:val="20"/>
                <w:szCs w:val="20"/>
              </w:rPr>
              <w:t>55</w:t>
            </w:r>
          </w:p>
        </w:tc>
        <w:tc>
          <w:tcPr>
            <w:tcW w:w="1584" w:type="dxa"/>
            <w:shd w:val="clear" w:color="auto" w:fill="auto"/>
            <w:noWrap/>
            <w:vAlign w:val="bottom"/>
            <w:hideMark/>
          </w:tcPr>
          <w:p w14:paraId="0961D701" w14:textId="3EC091F6"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0981E51C" w14:textId="7C6EB896"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412000CE" w14:textId="77777777" w:rsidTr="005434A9">
        <w:trPr>
          <w:cantSplit/>
          <w:trHeight w:val="20"/>
        </w:trPr>
        <w:tc>
          <w:tcPr>
            <w:tcW w:w="1421" w:type="dxa"/>
            <w:shd w:val="clear" w:color="auto" w:fill="auto"/>
            <w:noWrap/>
            <w:vAlign w:val="bottom"/>
            <w:hideMark/>
          </w:tcPr>
          <w:p w14:paraId="2846A7A5" w14:textId="1CDB6922"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399A3138" w14:textId="5258EA95"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45 </w:t>
            </w:r>
            <w:r w:rsidR="00FE0E71">
              <w:rPr>
                <w:rFonts w:eastAsia="Times New Roman" w:cs="Calibri Light"/>
                <w:color w:val="000000"/>
                <w:sz w:val="20"/>
                <w:szCs w:val="20"/>
              </w:rPr>
              <w:t>-</w:t>
            </w:r>
            <w:r w:rsidR="00FE0E71" w:rsidRPr="00C9619C">
              <w:rPr>
                <w:rFonts w:eastAsia="Times New Roman" w:cs="Calibri Light"/>
                <w:color w:val="000000"/>
                <w:sz w:val="20"/>
                <w:szCs w:val="20"/>
              </w:rPr>
              <w:t xml:space="preserve"> </w:t>
            </w:r>
            <w:r w:rsidRPr="00C9619C">
              <w:rPr>
                <w:rFonts w:eastAsia="Times New Roman" w:cs="Calibri Light"/>
                <w:color w:val="000000"/>
                <w:sz w:val="20"/>
                <w:szCs w:val="20"/>
              </w:rPr>
              <w:t>55</w:t>
            </w:r>
          </w:p>
        </w:tc>
        <w:tc>
          <w:tcPr>
            <w:tcW w:w="1584" w:type="dxa"/>
            <w:shd w:val="clear" w:color="auto" w:fill="auto"/>
            <w:noWrap/>
            <w:vAlign w:val="bottom"/>
            <w:hideMark/>
          </w:tcPr>
          <w:p w14:paraId="6B5F07BC" w14:textId="7DCC2891"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37B8A1B2" w14:textId="3EAC4F9F"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1EDE86CD" w14:textId="77777777" w:rsidTr="005434A9">
        <w:trPr>
          <w:cantSplit/>
          <w:trHeight w:val="20"/>
        </w:trPr>
        <w:tc>
          <w:tcPr>
            <w:tcW w:w="1421" w:type="dxa"/>
            <w:shd w:val="clear" w:color="auto" w:fill="auto"/>
            <w:noWrap/>
            <w:vAlign w:val="bottom"/>
            <w:hideMark/>
          </w:tcPr>
          <w:p w14:paraId="03CBC232" w14:textId="285D0DE7"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3AE5A619" w14:textId="0E0E9257" w:rsidR="00C9619C" w:rsidRPr="00C9619C" w:rsidRDefault="00FE0E71"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14:paraId="1721CDD3" w14:textId="759D3F16"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06E1C8BC" w14:textId="73776DC9"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4FA1AACA" w14:textId="77777777" w:rsidTr="005434A9">
        <w:trPr>
          <w:cantSplit/>
          <w:trHeight w:val="20"/>
        </w:trPr>
        <w:tc>
          <w:tcPr>
            <w:tcW w:w="1421" w:type="dxa"/>
            <w:shd w:val="clear" w:color="auto" w:fill="auto"/>
            <w:noWrap/>
            <w:vAlign w:val="bottom"/>
            <w:hideMark/>
          </w:tcPr>
          <w:p w14:paraId="7DF5D29C" w14:textId="14EB1483"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5A9DB297" w14:textId="44729C23" w:rsidR="00C9619C" w:rsidRPr="00C9619C" w:rsidRDefault="00FE0E71"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14:paraId="6ED937E0" w14:textId="3953D57E"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1E41713B" w14:textId="062FE4B3"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C191991" w14:textId="77777777" w:rsidTr="005434A9">
        <w:trPr>
          <w:cantSplit/>
          <w:trHeight w:val="20"/>
        </w:trPr>
        <w:tc>
          <w:tcPr>
            <w:tcW w:w="1421" w:type="dxa"/>
            <w:shd w:val="clear" w:color="auto" w:fill="auto"/>
            <w:noWrap/>
            <w:vAlign w:val="bottom"/>
            <w:hideMark/>
          </w:tcPr>
          <w:p w14:paraId="7E826BFF" w14:textId="197EA4E8"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lastRenderedPageBreak/>
              <w:t>Split AC</w:t>
            </w:r>
          </w:p>
        </w:tc>
        <w:tc>
          <w:tcPr>
            <w:tcW w:w="2064" w:type="dxa"/>
            <w:shd w:val="clear" w:color="auto" w:fill="auto"/>
            <w:noWrap/>
            <w:vAlign w:val="bottom"/>
            <w:hideMark/>
          </w:tcPr>
          <w:p w14:paraId="6C761B62" w14:textId="1E38F5F4" w:rsidR="00C9619C" w:rsidRPr="00C9619C" w:rsidRDefault="00FE0E71"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14:paraId="0A056149" w14:textId="54B6A2A6"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0B71E98A" w14:textId="28090727"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5B27FA66" w14:textId="77777777" w:rsidTr="005434A9">
        <w:trPr>
          <w:cantSplit/>
          <w:trHeight w:val="20"/>
        </w:trPr>
        <w:tc>
          <w:tcPr>
            <w:tcW w:w="1421" w:type="dxa"/>
            <w:shd w:val="clear" w:color="auto" w:fill="auto"/>
            <w:noWrap/>
            <w:vAlign w:val="bottom"/>
            <w:hideMark/>
          </w:tcPr>
          <w:p w14:paraId="3231548F" w14:textId="2A891E6A"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14:paraId="2985CD37" w14:textId="21D41D7C" w:rsidR="00C9619C" w:rsidRPr="00C9619C" w:rsidRDefault="00FE0E71"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14:paraId="0D1E739A" w14:textId="3E4294D2"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64458C65" w14:textId="04834115"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11ED5966" w14:textId="77777777" w:rsidTr="005434A9">
        <w:trPr>
          <w:cantSplit/>
          <w:trHeight w:val="20"/>
        </w:trPr>
        <w:tc>
          <w:tcPr>
            <w:tcW w:w="1421" w:type="dxa"/>
            <w:shd w:val="clear" w:color="auto" w:fill="auto"/>
            <w:noWrap/>
            <w:vAlign w:val="bottom"/>
            <w:hideMark/>
          </w:tcPr>
          <w:p w14:paraId="21F0F358" w14:textId="6960A2F2"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14:paraId="33B439CE" w14:textId="31CD89CA"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241A6E93" w14:textId="5D3AFA5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2510D5F8" w14:textId="3A7E4235"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082FAAAE" w14:textId="77777777" w:rsidTr="005434A9">
        <w:trPr>
          <w:cantSplit/>
          <w:trHeight w:val="20"/>
        </w:trPr>
        <w:tc>
          <w:tcPr>
            <w:tcW w:w="1421" w:type="dxa"/>
            <w:shd w:val="clear" w:color="auto" w:fill="auto"/>
            <w:noWrap/>
            <w:vAlign w:val="bottom"/>
            <w:hideMark/>
          </w:tcPr>
          <w:p w14:paraId="598B4A69" w14:textId="3B5800F8"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14:paraId="4FB28C5D" w14:textId="6C7DF74E"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0FBFAD0C" w14:textId="25DD21D1"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475E4FFE" w14:textId="18BEB4C3"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3FD502EB" w14:textId="77777777" w:rsidTr="005434A9">
        <w:trPr>
          <w:cantSplit/>
          <w:trHeight w:val="20"/>
        </w:trPr>
        <w:tc>
          <w:tcPr>
            <w:tcW w:w="1421" w:type="dxa"/>
            <w:shd w:val="clear" w:color="auto" w:fill="auto"/>
            <w:noWrap/>
            <w:vAlign w:val="bottom"/>
            <w:hideMark/>
          </w:tcPr>
          <w:p w14:paraId="27B37BCD" w14:textId="3A2A08E1"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14:paraId="2BA12FDB" w14:textId="1095EBAF"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61B5A9DE" w14:textId="1E9D320A"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1142842A" w14:textId="67295795"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5D330D8" w14:textId="77777777" w:rsidTr="005434A9">
        <w:trPr>
          <w:cantSplit/>
          <w:trHeight w:val="20"/>
        </w:trPr>
        <w:tc>
          <w:tcPr>
            <w:tcW w:w="1421" w:type="dxa"/>
            <w:shd w:val="clear" w:color="auto" w:fill="auto"/>
            <w:noWrap/>
            <w:vAlign w:val="bottom"/>
            <w:hideMark/>
          </w:tcPr>
          <w:p w14:paraId="69DDCC08" w14:textId="79A370F5"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14:paraId="7CE946DD" w14:textId="617BD62B"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14:paraId="1C508512" w14:textId="72D3ADCD"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580DD5E2" w14:textId="3811D88E"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40C5B775" w14:textId="77777777" w:rsidTr="005434A9">
        <w:trPr>
          <w:cantSplit/>
          <w:trHeight w:val="20"/>
        </w:trPr>
        <w:tc>
          <w:tcPr>
            <w:tcW w:w="1421" w:type="dxa"/>
            <w:shd w:val="clear" w:color="auto" w:fill="auto"/>
            <w:noWrap/>
            <w:vAlign w:val="bottom"/>
            <w:hideMark/>
          </w:tcPr>
          <w:p w14:paraId="41CA78CB" w14:textId="0E316350"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14:paraId="0F88E66E" w14:textId="66D40B55"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14:paraId="11FCC5E8" w14:textId="2E30DB5D"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294114BF" w14:textId="5F6878D9"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65A4728" w14:textId="77777777" w:rsidTr="005434A9">
        <w:trPr>
          <w:cantSplit/>
          <w:trHeight w:val="20"/>
        </w:trPr>
        <w:tc>
          <w:tcPr>
            <w:tcW w:w="1421" w:type="dxa"/>
            <w:shd w:val="clear" w:color="auto" w:fill="auto"/>
            <w:noWrap/>
            <w:vAlign w:val="bottom"/>
            <w:hideMark/>
          </w:tcPr>
          <w:p w14:paraId="2AC5D705" w14:textId="17BBB4BA"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14:paraId="02D69617" w14:textId="6FC3A24E"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14:paraId="7D489777" w14:textId="26FA2DCE"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64E7A964" w14:textId="4C6425EB"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AF9B172" w14:textId="77777777" w:rsidTr="005434A9">
        <w:trPr>
          <w:cantSplit/>
          <w:trHeight w:val="20"/>
        </w:trPr>
        <w:tc>
          <w:tcPr>
            <w:tcW w:w="1421" w:type="dxa"/>
            <w:shd w:val="clear" w:color="auto" w:fill="auto"/>
            <w:noWrap/>
            <w:vAlign w:val="bottom"/>
            <w:hideMark/>
          </w:tcPr>
          <w:p w14:paraId="1A9A7220" w14:textId="1711140C"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3218F218" w14:textId="5B99FDFD"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020C4C9A" w14:textId="492B19EA"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2CE3672B" w14:textId="228D4898"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02DB4BCD" w14:textId="77777777" w:rsidTr="005434A9">
        <w:trPr>
          <w:cantSplit/>
          <w:trHeight w:val="20"/>
        </w:trPr>
        <w:tc>
          <w:tcPr>
            <w:tcW w:w="1421" w:type="dxa"/>
            <w:shd w:val="clear" w:color="auto" w:fill="auto"/>
            <w:noWrap/>
            <w:vAlign w:val="bottom"/>
            <w:hideMark/>
          </w:tcPr>
          <w:p w14:paraId="48191E35" w14:textId="053AC6FC"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06A8AF26" w14:textId="6847E4DD"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1053FAC2" w14:textId="03ED75E3"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00C78F91" w14:textId="2126B1C2"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6F482877" w14:textId="77777777" w:rsidTr="005434A9">
        <w:trPr>
          <w:cantSplit/>
          <w:trHeight w:val="20"/>
        </w:trPr>
        <w:tc>
          <w:tcPr>
            <w:tcW w:w="1421" w:type="dxa"/>
            <w:shd w:val="clear" w:color="auto" w:fill="auto"/>
            <w:noWrap/>
            <w:vAlign w:val="bottom"/>
            <w:hideMark/>
          </w:tcPr>
          <w:p w14:paraId="31F7ABB3" w14:textId="3AF074FC"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0582C829" w14:textId="5F2C6458"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054574B9" w14:textId="1A088885"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549B924B" w14:textId="647E1E57"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4D03BCFE" w14:textId="77777777" w:rsidTr="005434A9">
        <w:trPr>
          <w:cantSplit/>
          <w:trHeight w:val="20"/>
        </w:trPr>
        <w:tc>
          <w:tcPr>
            <w:tcW w:w="1421" w:type="dxa"/>
            <w:shd w:val="clear" w:color="auto" w:fill="auto"/>
            <w:noWrap/>
            <w:vAlign w:val="bottom"/>
            <w:hideMark/>
          </w:tcPr>
          <w:p w14:paraId="3E453DE3" w14:textId="35C4AD4E"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01641399" w14:textId="7003F912"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14:paraId="775077CC" w14:textId="03627E49"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6510B52F" w14:textId="555ED8A7"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21A8E5D3" w14:textId="77777777" w:rsidTr="005434A9">
        <w:trPr>
          <w:cantSplit/>
          <w:trHeight w:val="20"/>
        </w:trPr>
        <w:tc>
          <w:tcPr>
            <w:tcW w:w="1421" w:type="dxa"/>
            <w:shd w:val="clear" w:color="auto" w:fill="auto"/>
            <w:noWrap/>
            <w:vAlign w:val="bottom"/>
            <w:hideMark/>
          </w:tcPr>
          <w:p w14:paraId="23762BD9" w14:textId="5539674C"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077CF9EE" w14:textId="266B7020"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 xml:space="preserve">- </w:t>
            </w:r>
            <w:r w:rsidRPr="00C9619C">
              <w:rPr>
                <w:rFonts w:eastAsia="Times New Roman" w:cs="Calibri Light"/>
                <w:color w:val="000000"/>
                <w:sz w:val="20"/>
                <w:szCs w:val="20"/>
              </w:rPr>
              <w:t>65</w:t>
            </w:r>
          </w:p>
        </w:tc>
        <w:tc>
          <w:tcPr>
            <w:tcW w:w="1584" w:type="dxa"/>
            <w:shd w:val="clear" w:color="auto" w:fill="auto"/>
            <w:noWrap/>
            <w:vAlign w:val="bottom"/>
            <w:hideMark/>
          </w:tcPr>
          <w:p w14:paraId="608CC79F" w14:textId="53C10B0D"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14:paraId="13D30664" w14:textId="32AA71D5"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3A804BBF" w14:textId="77777777" w:rsidTr="005434A9">
        <w:trPr>
          <w:cantSplit/>
          <w:trHeight w:val="20"/>
        </w:trPr>
        <w:tc>
          <w:tcPr>
            <w:tcW w:w="1421" w:type="dxa"/>
            <w:shd w:val="clear" w:color="auto" w:fill="auto"/>
            <w:noWrap/>
            <w:vAlign w:val="bottom"/>
            <w:hideMark/>
          </w:tcPr>
          <w:p w14:paraId="7F3A61E3" w14:textId="163C9FE9"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7DCA3813" w14:textId="02B94A01"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14:paraId="51D61F6C" w14:textId="4A1E3D99"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14:paraId="1E804914" w14:textId="0CE1D3FE"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6E4DDC37" w14:textId="77777777" w:rsidTr="005434A9">
        <w:trPr>
          <w:cantSplit/>
          <w:trHeight w:val="20"/>
        </w:trPr>
        <w:tc>
          <w:tcPr>
            <w:tcW w:w="1421" w:type="dxa"/>
            <w:shd w:val="clear" w:color="auto" w:fill="auto"/>
            <w:noWrap/>
            <w:vAlign w:val="bottom"/>
            <w:hideMark/>
          </w:tcPr>
          <w:p w14:paraId="4C0302C8" w14:textId="2ECF6432"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2A8E903E" w14:textId="1958BBB1"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14:paraId="3A406F58" w14:textId="3DC3C8D8"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14:paraId="54FC4E1F" w14:textId="489F398D"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00C9619C" w:rsidRPr="00C9619C" w14:paraId="32367C22" w14:textId="77777777" w:rsidTr="005434A9">
        <w:trPr>
          <w:cantSplit/>
          <w:trHeight w:val="20"/>
        </w:trPr>
        <w:tc>
          <w:tcPr>
            <w:tcW w:w="1421" w:type="dxa"/>
            <w:shd w:val="clear" w:color="auto" w:fill="auto"/>
            <w:noWrap/>
            <w:vAlign w:val="bottom"/>
            <w:hideMark/>
          </w:tcPr>
          <w:p w14:paraId="50681DD4" w14:textId="65438EA1" w:rsidR="00C9619C" w:rsidRPr="00C9619C" w:rsidRDefault="00C9619C" w:rsidP="00C9619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14:paraId="454D3425" w14:textId="7C253909"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14:paraId="3DD63905" w14:textId="6C6E042F" w:rsidR="00C9619C" w:rsidRPr="00C9619C" w:rsidRDefault="00C9619C" w:rsidP="00C9619C">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14:paraId="5E565CE4" w14:textId="1B4F0126" w:rsidR="00C9619C" w:rsidRPr="00C9619C" w:rsidRDefault="00C9619C" w:rsidP="00C9619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bl>
    <w:p w14:paraId="027C2465" w14:textId="77777777" w:rsidR="00994F74" w:rsidRPr="004B06E3" w:rsidRDefault="00994F74" w:rsidP="00DE339F"/>
    <w:p w14:paraId="54FD79D6" w14:textId="77777777" w:rsidR="00E70CBD" w:rsidRPr="00171BB8" w:rsidRDefault="00E70CBD" w:rsidP="00462BB6">
      <w:pPr>
        <w:pStyle w:val="eTRMHeading3"/>
      </w:pPr>
      <w:bookmarkStart w:id="13" w:name="_Toc486490849"/>
      <w:bookmarkStart w:id="14" w:name="_Toc486580920"/>
      <w:bookmarkStart w:id="15" w:name="_Toc20997196"/>
      <w:r w:rsidRPr="004B06E3">
        <w:t>Base Case Description</w:t>
      </w:r>
      <w:bookmarkEnd w:id="13"/>
      <w:bookmarkEnd w:id="14"/>
      <w:bookmarkEnd w:id="15"/>
      <w:r w:rsidRPr="00171BB8">
        <w:t xml:space="preserve"> </w:t>
      </w:r>
    </w:p>
    <w:p w14:paraId="17EF9423" w14:textId="21D87B74" w:rsidR="00D73DD3" w:rsidRDefault="00D73DD3" w:rsidP="00D73DD3">
      <w:bookmarkStart w:id="16" w:name="_Hlk517814984"/>
      <w:r>
        <w:t>The base case is defined as an</w:t>
      </w:r>
      <w:r w:rsidR="008B4F79">
        <w:t xml:space="preserve"> existing</w:t>
      </w:r>
      <w:r>
        <w:t xml:space="preserve"> air-cooled air conditioner or heat pump with cooling capacity &lt; 65 </w:t>
      </w:r>
      <w:proofErr w:type="spellStart"/>
      <w:r>
        <w:t>kBtuh</w:t>
      </w:r>
      <w:proofErr w:type="spellEnd"/>
      <w:r w:rsidR="008B4F79">
        <w:t xml:space="preserve"> in a nonresidential building that meets the federal minimum efficiency standard of 14 SEER.</w:t>
      </w:r>
      <w:r w:rsidR="00071BB7">
        <w:t xml:space="preserve"> (See Code Requirements).</w:t>
      </w:r>
    </w:p>
    <w:bookmarkEnd w:id="16"/>
    <w:p w14:paraId="31229FBE" w14:textId="77777777" w:rsidR="002942B0" w:rsidRPr="002942B0" w:rsidRDefault="002942B0" w:rsidP="002942B0"/>
    <w:p w14:paraId="77B15D50" w14:textId="17CAABA0" w:rsidR="007D230B" w:rsidRDefault="007D230B" w:rsidP="004C5970">
      <w:pPr>
        <w:pStyle w:val="eTRMHeading3"/>
      </w:pPr>
      <w:bookmarkStart w:id="17" w:name="_Toc486490850"/>
      <w:bookmarkStart w:id="18" w:name="_Toc486580921"/>
      <w:bookmarkStart w:id="19" w:name="_Toc20997197"/>
      <w:r w:rsidRPr="004B06E3">
        <w:t>Code Requirements</w:t>
      </w:r>
      <w:bookmarkEnd w:id="17"/>
      <w:bookmarkEnd w:id="18"/>
      <w:bookmarkEnd w:id="19"/>
    </w:p>
    <w:p w14:paraId="5526CB2D" w14:textId="1CD2788F" w:rsidR="004C5970" w:rsidRDefault="004C5970" w:rsidP="004C5970">
      <w:r>
        <w:t>Both state and federal standards govern the energy performance of packaged and split system AC and heat pumps.</w:t>
      </w:r>
      <w:r w:rsidR="00421770">
        <w:t xml:space="preserve"> The </w:t>
      </w:r>
      <w:r w:rsidR="004F1162">
        <w:t>standards</w:t>
      </w:r>
      <w:r w:rsidR="00421770">
        <w:t xml:space="preserve"> reference</w:t>
      </w:r>
      <w:r w:rsidR="004F1162">
        <w:t>d below</w:t>
      </w:r>
      <w:r w:rsidR="00696B91">
        <w:t xml:space="preserve"> </w:t>
      </w:r>
      <w:r w:rsidR="00421770">
        <w:t>establish the minimum SEER of 14.0</w:t>
      </w:r>
      <w:r w:rsidR="0056381B">
        <w:t xml:space="preserve"> for </w:t>
      </w:r>
      <w:r w:rsidR="008C015C">
        <w:t>three</w:t>
      </w:r>
      <w:r w:rsidR="0056381B">
        <w:t xml:space="preserve">-phase </w:t>
      </w:r>
      <w:r w:rsidR="008C015C">
        <w:t xml:space="preserve">package </w:t>
      </w:r>
      <w:r w:rsidR="0056381B">
        <w:t>AC units</w:t>
      </w:r>
      <w:r w:rsidR="004D2B25">
        <w:t>, both split and package heat pumps,</w:t>
      </w:r>
      <w:r w:rsidR="0056381B">
        <w:t xml:space="preserve"> and the minimum SEER of 13.0 for </w:t>
      </w:r>
      <w:r w:rsidR="004D2B25">
        <w:t xml:space="preserve">three-phase </w:t>
      </w:r>
      <w:r w:rsidR="0056381B">
        <w:t>split systems &lt; 65 kBtu/h.</w:t>
      </w:r>
      <w:r w:rsidR="0056381B">
        <w:rPr>
          <w:rStyle w:val="FootnoteReference"/>
        </w:rPr>
        <w:footnoteReference w:id="1"/>
      </w:r>
      <w:r w:rsidR="00421770">
        <w:t xml:space="preserve"> The California Building Energy Efficiency Standards</w:t>
      </w:r>
      <w:r w:rsidR="004F1162">
        <w:t xml:space="preserve"> (Title 24)</w:t>
      </w:r>
      <w:r w:rsidR="00421770">
        <w:t xml:space="preserve"> </w:t>
      </w:r>
      <w:r w:rsidR="00BB3E6A">
        <w:t>is</w:t>
      </w:r>
      <w:r w:rsidR="00421770">
        <w:t xml:space="preserve"> not applicable because it applies only to unitary </w:t>
      </w:r>
      <w:r w:rsidR="009803B7">
        <w:t>air conditioning</w:t>
      </w:r>
      <w:r w:rsidR="00421770">
        <w:t xml:space="preserve"> and </w:t>
      </w:r>
      <w:r w:rsidR="009803B7">
        <w:t>heat pump</w:t>
      </w:r>
      <w:r w:rsidR="00421770">
        <w:t xml:space="preserve"> units &gt; 65 </w:t>
      </w:r>
      <w:proofErr w:type="spellStart"/>
      <w:r w:rsidR="00421770">
        <w:t>kBtuh</w:t>
      </w:r>
      <w:proofErr w:type="spellEnd"/>
      <w:r w:rsidR="00421770">
        <w:t>.</w:t>
      </w:r>
    </w:p>
    <w:p w14:paraId="7CBBE350" w14:textId="45DC2047" w:rsidR="00696B91" w:rsidRDefault="00696B91" w:rsidP="00696B91">
      <w:pPr>
        <w:pStyle w:val="Caption"/>
      </w:pPr>
      <w:r w:rsidRPr="00804F3F">
        <w:lastRenderedPageBreak/>
        <w:t>Applicable State and Federal Codes and Standards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85"/>
        <w:gridCol w:w="2520"/>
        <w:gridCol w:w="2430"/>
      </w:tblGrid>
      <w:tr w:rsidR="00FC77BB" w:rsidRPr="00154391" w14:paraId="4623D54B" w14:textId="689B6080" w:rsidTr="00316CC9">
        <w:trPr>
          <w:cantSplit/>
          <w:trHeight w:val="20"/>
        </w:trPr>
        <w:tc>
          <w:tcPr>
            <w:tcW w:w="458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252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316CC9">
        <w:trPr>
          <w:cantSplit/>
          <w:trHeight w:val="20"/>
        </w:trPr>
        <w:tc>
          <w:tcPr>
            <w:tcW w:w="4585" w:type="dxa"/>
            <w:shd w:val="clear" w:color="auto" w:fill="auto"/>
          </w:tcPr>
          <w:p w14:paraId="67BA833F" w14:textId="1DD8DEFC" w:rsidR="00FC77BB" w:rsidRPr="00BD6838" w:rsidRDefault="00FC77BB" w:rsidP="004F705B">
            <w:pPr>
              <w:keepNext/>
              <w:keepLines/>
              <w:spacing w:before="20" w:after="20"/>
              <w:rPr>
                <w:sz w:val="20"/>
                <w:szCs w:val="20"/>
              </w:rPr>
            </w:pPr>
            <w:r w:rsidRPr="00BD6838">
              <w:rPr>
                <w:sz w:val="20"/>
              </w:rPr>
              <w:t xml:space="preserve">CA Appliance Efficiency Regulations – Title 20 </w:t>
            </w:r>
            <w:r w:rsidR="0056381B">
              <w:rPr>
                <w:sz w:val="20"/>
              </w:rPr>
              <w:t>(2019)</w:t>
            </w:r>
          </w:p>
        </w:tc>
        <w:tc>
          <w:tcPr>
            <w:tcW w:w="2520" w:type="dxa"/>
            <w:shd w:val="clear" w:color="auto" w:fill="auto"/>
          </w:tcPr>
          <w:p w14:paraId="794A0264" w14:textId="28CF1CE2" w:rsidR="00FC77BB" w:rsidRPr="00636AE6" w:rsidRDefault="004155AB" w:rsidP="004F705B">
            <w:pPr>
              <w:keepNext/>
              <w:keepLines/>
              <w:spacing w:before="20" w:after="20"/>
              <w:rPr>
                <w:sz w:val="20"/>
                <w:szCs w:val="20"/>
              </w:rPr>
            </w:pPr>
            <w:r w:rsidRPr="00636AE6">
              <w:rPr>
                <w:sz w:val="20"/>
              </w:rPr>
              <w:t>Section 1605.1</w:t>
            </w:r>
            <w:r w:rsidR="0056381B">
              <w:rPr>
                <w:sz w:val="20"/>
              </w:rPr>
              <w:t>, Table C-4</w:t>
            </w:r>
          </w:p>
        </w:tc>
        <w:tc>
          <w:tcPr>
            <w:tcW w:w="2430" w:type="dxa"/>
            <w:shd w:val="clear" w:color="auto" w:fill="auto"/>
          </w:tcPr>
          <w:p w14:paraId="274AB5DC" w14:textId="622E2D19" w:rsidR="00FC77BB" w:rsidRPr="00FB030E" w:rsidRDefault="00421770" w:rsidP="003B1CF0">
            <w:pPr>
              <w:keepNext/>
              <w:keepLines/>
              <w:spacing w:before="20" w:after="20"/>
              <w:rPr>
                <w:sz w:val="20"/>
                <w:szCs w:val="20"/>
              </w:rPr>
            </w:pPr>
            <w:r>
              <w:rPr>
                <w:sz w:val="20"/>
                <w:szCs w:val="20"/>
              </w:rPr>
              <w:t>January 1, 2015</w:t>
            </w:r>
          </w:p>
        </w:tc>
      </w:tr>
      <w:tr w:rsidR="00FC77BB" w:rsidRPr="00FB030E" w14:paraId="1238F946" w14:textId="64CC1E4E" w:rsidTr="00316CC9">
        <w:trPr>
          <w:cantSplit/>
          <w:trHeight w:val="20"/>
        </w:trPr>
        <w:tc>
          <w:tcPr>
            <w:tcW w:w="4585" w:type="dxa"/>
            <w:shd w:val="clear" w:color="auto" w:fill="auto"/>
          </w:tcPr>
          <w:p w14:paraId="4F444C61" w14:textId="44AB23B9" w:rsidR="00FC77BB" w:rsidRPr="00BD6838" w:rsidRDefault="00FC77BB" w:rsidP="00FD2C54">
            <w:pPr>
              <w:keepNext/>
              <w:keepLines/>
              <w:spacing w:before="20" w:after="20"/>
              <w:rPr>
                <w:sz w:val="20"/>
                <w:szCs w:val="20"/>
              </w:rPr>
            </w:pPr>
            <w:r w:rsidRPr="00BD6838">
              <w:rPr>
                <w:sz w:val="20"/>
              </w:rPr>
              <w:t xml:space="preserve">CA Building Energy Efficiency Standards – Title 24 </w:t>
            </w:r>
          </w:p>
        </w:tc>
        <w:tc>
          <w:tcPr>
            <w:tcW w:w="2520" w:type="dxa"/>
            <w:shd w:val="clear" w:color="auto" w:fill="auto"/>
          </w:tcPr>
          <w:p w14:paraId="0A330E5E" w14:textId="3E6D6E52" w:rsidR="00FC77BB" w:rsidRPr="00FB030E" w:rsidRDefault="003B1CF0" w:rsidP="00BA3D7D">
            <w:pPr>
              <w:keepNext/>
              <w:keepLines/>
              <w:spacing w:before="20" w:after="20"/>
              <w:rPr>
                <w:sz w:val="20"/>
                <w:szCs w:val="20"/>
              </w:rPr>
            </w:pPr>
            <w:r>
              <w:rPr>
                <w:sz w:val="20"/>
                <w:szCs w:val="20"/>
              </w:rPr>
              <w:t>None</w:t>
            </w:r>
          </w:p>
        </w:tc>
        <w:tc>
          <w:tcPr>
            <w:tcW w:w="2430" w:type="dxa"/>
            <w:shd w:val="clear" w:color="auto" w:fill="auto"/>
          </w:tcPr>
          <w:p w14:paraId="63BAD98E" w14:textId="04C0BFEF" w:rsidR="00FC77BB" w:rsidRPr="00FB030E" w:rsidRDefault="003B1CF0" w:rsidP="003B1CF0">
            <w:pPr>
              <w:keepNext/>
              <w:keepLines/>
              <w:spacing w:before="20" w:after="20"/>
              <w:rPr>
                <w:sz w:val="20"/>
                <w:szCs w:val="20"/>
              </w:rPr>
            </w:pPr>
            <w:r>
              <w:rPr>
                <w:sz w:val="20"/>
                <w:szCs w:val="20"/>
              </w:rPr>
              <w:t>n/a</w:t>
            </w:r>
          </w:p>
        </w:tc>
      </w:tr>
      <w:tr w:rsidR="00FC77BB" w:rsidRPr="00FB030E" w14:paraId="23FB50B6" w14:textId="5078B94B" w:rsidTr="00316CC9">
        <w:trPr>
          <w:cantSplit/>
          <w:trHeight w:val="20"/>
        </w:trPr>
        <w:tc>
          <w:tcPr>
            <w:tcW w:w="4585" w:type="dxa"/>
            <w:shd w:val="clear" w:color="auto" w:fill="auto"/>
          </w:tcPr>
          <w:p w14:paraId="2EBFC05B" w14:textId="77777777" w:rsidR="00FC77BB" w:rsidRPr="00BD6838" w:rsidRDefault="00FC77BB" w:rsidP="00BA3D7D">
            <w:pPr>
              <w:keepNext/>
              <w:keepLines/>
              <w:spacing w:before="20" w:after="20"/>
              <w:rPr>
                <w:sz w:val="20"/>
                <w:szCs w:val="20"/>
              </w:rPr>
            </w:pPr>
            <w:r w:rsidRPr="00BD6838">
              <w:rPr>
                <w:sz w:val="20"/>
              </w:rPr>
              <w:t>Federal Standards</w:t>
            </w:r>
          </w:p>
        </w:tc>
        <w:tc>
          <w:tcPr>
            <w:tcW w:w="2520" w:type="dxa"/>
            <w:shd w:val="clear" w:color="auto" w:fill="auto"/>
          </w:tcPr>
          <w:p w14:paraId="50900171" w14:textId="77777777" w:rsidR="00FC77BB" w:rsidRDefault="004C5970" w:rsidP="00BA3D7D">
            <w:pPr>
              <w:keepNext/>
              <w:keepLines/>
              <w:spacing w:before="20" w:after="20"/>
              <w:rPr>
                <w:sz w:val="20"/>
                <w:szCs w:val="20"/>
              </w:rPr>
            </w:pPr>
            <w:r>
              <w:rPr>
                <w:sz w:val="20"/>
                <w:szCs w:val="20"/>
              </w:rPr>
              <w:t>10 CFR 430.32</w:t>
            </w:r>
            <w:r w:rsidR="003B1CF0">
              <w:rPr>
                <w:sz w:val="20"/>
                <w:szCs w:val="20"/>
              </w:rPr>
              <w:t>(c)</w:t>
            </w:r>
          </w:p>
          <w:p w14:paraId="0D43394E" w14:textId="4647BB06" w:rsidR="00B174FF" w:rsidRPr="00FB030E" w:rsidRDefault="00B174FF" w:rsidP="00BA3D7D">
            <w:pPr>
              <w:keepNext/>
              <w:keepLines/>
              <w:spacing w:before="20" w:after="20"/>
              <w:rPr>
                <w:sz w:val="20"/>
                <w:szCs w:val="20"/>
              </w:rPr>
            </w:pPr>
            <w:r>
              <w:rPr>
                <w:sz w:val="20"/>
                <w:szCs w:val="20"/>
              </w:rPr>
              <w:t xml:space="preserve">10 CFR 431.97, </w:t>
            </w:r>
            <w:r w:rsidR="0056381B">
              <w:rPr>
                <w:sz w:val="20"/>
                <w:szCs w:val="20"/>
              </w:rPr>
              <w:t>T</w:t>
            </w:r>
            <w:r>
              <w:rPr>
                <w:sz w:val="20"/>
                <w:szCs w:val="20"/>
              </w:rPr>
              <w:t>able 1.</w:t>
            </w:r>
          </w:p>
        </w:tc>
        <w:tc>
          <w:tcPr>
            <w:tcW w:w="2430" w:type="dxa"/>
            <w:shd w:val="clear" w:color="auto" w:fill="auto"/>
          </w:tcPr>
          <w:p w14:paraId="66FA1B6F" w14:textId="7E3AC3E7" w:rsidR="00FC77BB" w:rsidRPr="00FB030E" w:rsidRDefault="003B1CF0" w:rsidP="003B1CF0">
            <w:pPr>
              <w:keepNext/>
              <w:keepLines/>
              <w:spacing w:before="20" w:after="20"/>
              <w:rPr>
                <w:sz w:val="20"/>
                <w:szCs w:val="20"/>
              </w:rPr>
            </w:pPr>
            <w:r>
              <w:rPr>
                <w:sz w:val="20"/>
                <w:szCs w:val="20"/>
              </w:rPr>
              <w:t>January 1, 2015</w:t>
            </w:r>
          </w:p>
        </w:tc>
      </w:tr>
    </w:tbl>
    <w:p w14:paraId="28E117EC" w14:textId="77777777" w:rsidR="00421770" w:rsidRDefault="00421770" w:rsidP="004C5970">
      <w:pPr>
        <w:spacing w:line="200" w:lineRule="exact"/>
        <w:rPr>
          <w:rFonts w:ascii="Times New Roman" w:eastAsia="Times New Roman" w:hAnsi="Times New Roman"/>
        </w:rPr>
      </w:pPr>
    </w:p>
    <w:p w14:paraId="1EE16D20" w14:textId="77777777" w:rsidR="007D230B" w:rsidRPr="00171BB8" w:rsidRDefault="007D230B" w:rsidP="00462BB6">
      <w:pPr>
        <w:pStyle w:val="eTRMHeading3"/>
      </w:pPr>
      <w:bookmarkStart w:id="20" w:name="_Toc486490851"/>
      <w:bookmarkStart w:id="21" w:name="_Toc486580922"/>
      <w:bookmarkStart w:id="22" w:name="_Toc20997198"/>
      <w:r w:rsidRPr="00A83458">
        <w:t>Normalizing</w:t>
      </w:r>
      <w:r w:rsidRPr="00171BB8">
        <w:t xml:space="preserve"> Unit</w:t>
      </w:r>
      <w:bookmarkEnd w:id="20"/>
      <w:bookmarkEnd w:id="21"/>
      <w:bookmarkEnd w:id="22"/>
    </w:p>
    <w:p w14:paraId="0115BB45" w14:textId="70F0C477" w:rsidR="009C31A4" w:rsidRDefault="008B4F79" w:rsidP="00486585">
      <w:r>
        <w:t>Per cooling ton</w:t>
      </w:r>
    </w:p>
    <w:p w14:paraId="5FADF307" w14:textId="77777777" w:rsidR="008B4F79" w:rsidRPr="007D230B" w:rsidRDefault="008B4F79" w:rsidP="00486585"/>
    <w:p w14:paraId="2F4904E6" w14:textId="77777777" w:rsidR="007D230B" w:rsidRPr="004B06E3" w:rsidRDefault="007D230B" w:rsidP="00316CC9">
      <w:pPr>
        <w:pStyle w:val="eTRMHeading3"/>
      </w:pPr>
      <w:bookmarkStart w:id="23" w:name="_Toc486490852"/>
      <w:bookmarkStart w:id="24" w:name="_Toc486580923"/>
      <w:bookmarkStart w:id="25" w:name="_Toc20997199"/>
      <w:bookmarkStart w:id="26" w:name="_Hlk515365299"/>
      <w:bookmarkStart w:id="27" w:name="_Hlk515878271"/>
      <w:r w:rsidRPr="004B06E3">
        <w:t>Program Requirements</w:t>
      </w:r>
      <w:bookmarkEnd w:id="23"/>
      <w:bookmarkEnd w:id="24"/>
      <w:bookmarkEnd w:id="25"/>
      <w:r w:rsidRPr="004B06E3">
        <w:t xml:space="preserve"> </w:t>
      </w:r>
    </w:p>
    <w:p w14:paraId="5433C86D" w14:textId="77777777" w:rsidR="00713E15" w:rsidRDefault="00713E15" w:rsidP="00B174FF">
      <w:pPr>
        <w:pStyle w:val="eTRMHeading5"/>
        <w:keepNext/>
        <w:keepLines/>
      </w:pPr>
      <w:bookmarkStart w:id="28" w:name="_Hlk516047641"/>
      <w:bookmarkEnd w:id="26"/>
      <w:r>
        <w:t>Measure Implementation Eligibility</w:t>
      </w:r>
    </w:p>
    <w:p w14:paraId="619CD20A" w14:textId="4071482A" w:rsidR="00713E15" w:rsidRDefault="00713E15" w:rsidP="00316CC9">
      <w:pPr>
        <w:keepNext/>
        <w:keepLines/>
      </w:pPr>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w:t>
      </w:r>
      <w:r w:rsidR="005E7066">
        <w:t>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bookmarkEnd w:id="30"/>
    <w:p w14:paraId="5832BEAB" w14:textId="77777777" w:rsidR="00713E15" w:rsidRPr="00CC4643" w:rsidRDefault="00713E15" w:rsidP="00713E15">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6BB3D984" w14:textId="1E7B0B86" w:rsidR="00696B91" w:rsidRDefault="00696B91" w:rsidP="00696B91">
      <w:pPr>
        <w:pStyle w:val="Caption"/>
      </w:pPr>
      <w:r w:rsidRPr="00AC12BA">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7BD36AA5" w14:textId="77777777" w:rsidTr="004B7CAA">
        <w:trPr>
          <w:trHeight w:val="290"/>
        </w:trPr>
        <w:tc>
          <w:tcPr>
            <w:tcW w:w="3024" w:type="dxa"/>
            <w:noWrap/>
            <w:tcMar>
              <w:top w:w="0" w:type="dxa"/>
              <w:left w:w="108" w:type="dxa"/>
              <w:bottom w:w="0" w:type="dxa"/>
              <w:right w:w="108" w:type="dxa"/>
            </w:tcMar>
            <w:vAlign w:val="bottom"/>
          </w:tcPr>
          <w:p w14:paraId="0D604657" w14:textId="63EE101F" w:rsidR="001B426F" w:rsidRPr="00A47168" w:rsidRDefault="005943BC" w:rsidP="001B426F">
            <w:pPr>
              <w:keepNext/>
              <w:spacing w:before="0" w:after="0"/>
              <w:rPr>
                <w:color w:val="000000"/>
                <w:sz w:val="20"/>
              </w:rPr>
            </w:pPr>
            <w:r>
              <w:rPr>
                <w:color w:val="000000"/>
                <w:sz w:val="20"/>
              </w:rPr>
              <w:t xml:space="preserve">Normal </w:t>
            </w:r>
            <w:r w:rsidR="008F2505">
              <w:rPr>
                <w:color w:val="000000"/>
                <w:sz w:val="20"/>
              </w:rPr>
              <w:t>r</w:t>
            </w:r>
            <w:r>
              <w:rPr>
                <w:color w:val="000000"/>
                <w:sz w:val="20"/>
              </w:rPr>
              <w:t>eplacement (NR)</w:t>
            </w:r>
          </w:p>
        </w:tc>
        <w:tc>
          <w:tcPr>
            <w:tcW w:w="3024" w:type="dxa"/>
            <w:noWrap/>
            <w:tcMar>
              <w:top w:w="0" w:type="dxa"/>
              <w:left w:w="108" w:type="dxa"/>
              <w:bottom w:w="0" w:type="dxa"/>
              <w:right w:w="108" w:type="dxa"/>
            </w:tcMar>
            <w:vAlign w:val="bottom"/>
          </w:tcPr>
          <w:p w14:paraId="4177326D" w14:textId="206AD737" w:rsidR="001B426F" w:rsidRPr="00A47168" w:rsidRDefault="008F2505" w:rsidP="001B426F">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14D649A1" w14:textId="62FAEBC3" w:rsidR="001B426F" w:rsidRPr="00A47168" w:rsidRDefault="005943BC" w:rsidP="001B426F">
            <w:pPr>
              <w:keepNext/>
              <w:spacing w:before="0" w:after="0"/>
              <w:rPr>
                <w:color w:val="000000"/>
                <w:sz w:val="20"/>
              </w:rPr>
            </w:pPr>
            <w:r>
              <w:rPr>
                <w:color w:val="000000"/>
                <w:sz w:val="20"/>
              </w:rPr>
              <w:t>Com</w:t>
            </w:r>
          </w:p>
        </w:tc>
      </w:tr>
      <w:tr w:rsidR="008F2505" w:rsidRPr="00A47168" w14:paraId="10250D65" w14:textId="77777777" w:rsidTr="004B7CAA">
        <w:trPr>
          <w:trHeight w:val="290"/>
        </w:trPr>
        <w:tc>
          <w:tcPr>
            <w:tcW w:w="3024" w:type="dxa"/>
            <w:noWrap/>
            <w:tcMar>
              <w:top w:w="0" w:type="dxa"/>
              <w:left w:w="108" w:type="dxa"/>
              <w:bottom w:w="0" w:type="dxa"/>
              <w:right w:w="108" w:type="dxa"/>
            </w:tcMar>
            <w:vAlign w:val="bottom"/>
          </w:tcPr>
          <w:p w14:paraId="5D08178F" w14:textId="25F11DDE" w:rsidR="008F2505" w:rsidRDefault="008F2505" w:rsidP="008F2505">
            <w:pPr>
              <w:keepNext/>
              <w:spacing w:before="0" w:after="0"/>
              <w:rPr>
                <w:color w:val="000000"/>
                <w:sz w:val="20"/>
              </w:rPr>
            </w:pPr>
            <w:r>
              <w:rPr>
                <w:color w:val="000000"/>
                <w:sz w:val="20"/>
              </w:rPr>
              <w:t>New construction (NC)</w:t>
            </w:r>
          </w:p>
        </w:tc>
        <w:tc>
          <w:tcPr>
            <w:tcW w:w="3024" w:type="dxa"/>
            <w:noWrap/>
            <w:tcMar>
              <w:top w:w="0" w:type="dxa"/>
              <w:left w:w="108" w:type="dxa"/>
              <w:bottom w:w="0" w:type="dxa"/>
              <w:right w:w="108" w:type="dxa"/>
            </w:tcMar>
            <w:vAlign w:val="bottom"/>
          </w:tcPr>
          <w:p w14:paraId="1A7CB1ED" w14:textId="3D1F27DE" w:rsidR="008F2505" w:rsidRDefault="008F2505" w:rsidP="008F2505">
            <w:pPr>
              <w:keepNext/>
              <w:spacing w:before="0" w:after="0"/>
              <w:rPr>
                <w:color w:val="000000"/>
                <w:sz w:val="20"/>
              </w:rPr>
            </w:pPr>
            <w:proofErr w:type="spellStart"/>
            <w:r>
              <w:rPr>
                <w:color w:val="000000"/>
                <w:sz w:val="20"/>
              </w:rPr>
              <w:t>UpDeem</w:t>
            </w:r>
            <w:r w:rsidR="00D81656">
              <w:rPr>
                <w:color w:val="000000"/>
                <w:sz w:val="20"/>
              </w:rPr>
              <w:t>ed</w:t>
            </w:r>
            <w:proofErr w:type="spellEnd"/>
          </w:p>
        </w:tc>
        <w:tc>
          <w:tcPr>
            <w:tcW w:w="3024" w:type="dxa"/>
            <w:noWrap/>
            <w:tcMar>
              <w:top w:w="0" w:type="dxa"/>
              <w:left w:w="108" w:type="dxa"/>
              <w:bottom w:w="0" w:type="dxa"/>
              <w:right w:w="108" w:type="dxa"/>
            </w:tcMar>
            <w:vAlign w:val="bottom"/>
          </w:tcPr>
          <w:p w14:paraId="3CC296EE" w14:textId="406C9658" w:rsidR="008F2505" w:rsidRDefault="008F2505" w:rsidP="008F2505">
            <w:pPr>
              <w:keepNext/>
              <w:spacing w:before="0" w:after="0"/>
              <w:rPr>
                <w:color w:val="000000"/>
                <w:sz w:val="20"/>
              </w:rPr>
            </w:pPr>
            <w:r>
              <w:rPr>
                <w:color w:val="000000"/>
                <w:sz w:val="20"/>
              </w:rPr>
              <w:t>Com</w:t>
            </w:r>
          </w:p>
        </w:tc>
      </w:tr>
    </w:tbl>
    <w:p w14:paraId="73035A5C" w14:textId="77777777" w:rsidR="001B426F" w:rsidRDefault="001B426F" w:rsidP="001B426F"/>
    <w:bookmarkEnd w:id="27"/>
    <w:bookmarkEnd w:id="28"/>
    <w:p w14:paraId="50711562" w14:textId="5D0894B2" w:rsidR="00AA46AF" w:rsidRDefault="00196649" w:rsidP="00154391">
      <w:pPr>
        <w:pStyle w:val="eTRMHeading5"/>
      </w:pPr>
      <w:r>
        <w:t>Eligible Products</w:t>
      </w:r>
    </w:p>
    <w:p w14:paraId="0D938766" w14:textId="1B0460CA" w:rsidR="00556261" w:rsidRPr="00C17486" w:rsidRDefault="005E7066" w:rsidP="00C17486">
      <w:pPr>
        <w:spacing w:line="0" w:lineRule="atLeast"/>
        <w:ind w:left="40" w:right="60"/>
      </w:pPr>
      <w:r>
        <w:t xml:space="preserve">Eligible products must meet the specification presented in the Measure Case Description; </w:t>
      </w:r>
      <w:r w:rsidR="00556261">
        <w:t>minimum efficiency requirements</w:t>
      </w:r>
      <w:r w:rsidR="00FF146E">
        <w:t xml:space="preserve"> by tier</w:t>
      </w:r>
      <w:r w:rsidR="00556261">
        <w:t xml:space="preserve"> are listed </w:t>
      </w:r>
      <w:r>
        <w:t>in the table below</w:t>
      </w:r>
      <w:r w:rsidR="00556261">
        <w:t>. Tier 1 specifications are derived from the Tier 2 CEE Commercial Unitary Air Conditioner Specifications. Tiers 2, 3 and 4 promote higher efficiency units offered by the HVAC industry.</w:t>
      </w:r>
      <w:r w:rsidR="00C17486">
        <w:t xml:space="preserve"> Note that a unit must meet either the SEER or EER requirement, it is not required to meet both.</w:t>
      </w:r>
    </w:p>
    <w:p w14:paraId="6951E6CB" w14:textId="103A4337" w:rsidR="00696B91" w:rsidRDefault="00696B91" w:rsidP="00696B91">
      <w:pPr>
        <w:pStyle w:val="Caption"/>
      </w:pPr>
      <w:r w:rsidRPr="00811AB4">
        <w:lastRenderedPageBreak/>
        <w:t>Minimum Efficiency Requirements</w:t>
      </w:r>
    </w:p>
    <w:tbl>
      <w:tblPr>
        <w:tblW w:w="64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155"/>
        <w:gridCol w:w="1440"/>
        <w:gridCol w:w="1440"/>
        <w:gridCol w:w="1440"/>
      </w:tblGrid>
      <w:tr w:rsidR="002F1E06" w:rsidRPr="00A47168" w14:paraId="53EB81A7" w14:textId="1C5CD489" w:rsidTr="003312F7">
        <w:trPr>
          <w:cantSplit/>
          <w:trHeight w:val="20"/>
          <w:tblHeader/>
        </w:trPr>
        <w:tc>
          <w:tcPr>
            <w:tcW w:w="2155" w:type="dxa"/>
            <w:shd w:val="clear" w:color="auto" w:fill="F2F2F2" w:themeFill="background1" w:themeFillShade="F2"/>
            <w:noWrap/>
            <w:tcMar>
              <w:top w:w="0" w:type="dxa"/>
              <w:left w:w="108" w:type="dxa"/>
              <w:bottom w:w="0" w:type="dxa"/>
              <w:right w:w="108" w:type="dxa"/>
            </w:tcMar>
            <w:vAlign w:val="center"/>
            <w:hideMark/>
          </w:tcPr>
          <w:p w14:paraId="644D9B19" w14:textId="62E64323" w:rsidR="002F1E06" w:rsidRPr="00A47168" w:rsidRDefault="002F1E06" w:rsidP="003312F7">
            <w:pPr>
              <w:keepNext/>
              <w:spacing w:before="0" w:after="0" w:line="240" w:lineRule="auto"/>
              <w:rPr>
                <w:b/>
                <w:bCs/>
                <w:sz w:val="20"/>
              </w:rPr>
            </w:pPr>
            <w:r>
              <w:rPr>
                <w:b/>
                <w:bCs/>
                <w:sz w:val="20"/>
              </w:rPr>
              <w:t>Unit Type</w:t>
            </w:r>
          </w:p>
        </w:tc>
        <w:tc>
          <w:tcPr>
            <w:tcW w:w="1440" w:type="dxa"/>
            <w:shd w:val="clear" w:color="auto" w:fill="F2F2F2" w:themeFill="background1" w:themeFillShade="F2"/>
            <w:noWrap/>
            <w:tcMar>
              <w:top w:w="0" w:type="dxa"/>
              <w:left w:w="108" w:type="dxa"/>
              <w:bottom w:w="0" w:type="dxa"/>
              <w:right w:w="108" w:type="dxa"/>
            </w:tcMar>
            <w:vAlign w:val="center"/>
            <w:hideMark/>
          </w:tcPr>
          <w:p w14:paraId="104405BF" w14:textId="125C27C2" w:rsidR="002F1E06" w:rsidRPr="00A47168" w:rsidRDefault="002F1E06" w:rsidP="003312F7">
            <w:pPr>
              <w:keepNext/>
              <w:spacing w:before="0" w:after="0" w:line="240" w:lineRule="auto"/>
              <w:jc w:val="center"/>
              <w:rPr>
                <w:b/>
                <w:bCs/>
                <w:sz w:val="20"/>
              </w:rPr>
            </w:pPr>
            <w:r>
              <w:rPr>
                <w:b/>
                <w:bCs/>
                <w:sz w:val="20"/>
              </w:rPr>
              <w:t>Tier</w:t>
            </w:r>
          </w:p>
        </w:tc>
        <w:tc>
          <w:tcPr>
            <w:tcW w:w="1440" w:type="dxa"/>
            <w:shd w:val="clear" w:color="auto" w:fill="F2F2F2" w:themeFill="background1" w:themeFillShade="F2"/>
            <w:noWrap/>
            <w:tcMar>
              <w:top w:w="0" w:type="dxa"/>
              <w:left w:w="108" w:type="dxa"/>
              <w:bottom w:w="0" w:type="dxa"/>
              <w:right w:w="108" w:type="dxa"/>
            </w:tcMar>
            <w:vAlign w:val="center"/>
            <w:hideMark/>
          </w:tcPr>
          <w:p w14:paraId="1C9D26F0" w14:textId="60DB063C" w:rsidR="002F1E06" w:rsidRPr="00A47168" w:rsidRDefault="002F1E06" w:rsidP="003312F7">
            <w:pPr>
              <w:keepNext/>
              <w:spacing w:before="0" w:after="0" w:line="240" w:lineRule="auto"/>
              <w:jc w:val="center"/>
              <w:rPr>
                <w:b/>
                <w:bCs/>
                <w:sz w:val="20"/>
              </w:rPr>
            </w:pPr>
            <w:r>
              <w:rPr>
                <w:b/>
                <w:bCs/>
                <w:sz w:val="20"/>
              </w:rPr>
              <w:t>Minimum SEER</w:t>
            </w:r>
          </w:p>
        </w:tc>
        <w:tc>
          <w:tcPr>
            <w:tcW w:w="1440" w:type="dxa"/>
            <w:shd w:val="clear" w:color="auto" w:fill="F2F2F2" w:themeFill="background1" w:themeFillShade="F2"/>
            <w:vAlign w:val="center"/>
          </w:tcPr>
          <w:p w14:paraId="305255BA" w14:textId="0379E3C2" w:rsidR="002F1E06" w:rsidRDefault="002F1E06" w:rsidP="003312F7">
            <w:pPr>
              <w:keepNext/>
              <w:spacing w:before="0" w:after="0" w:line="240" w:lineRule="auto"/>
              <w:jc w:val="center"/>
              <w:rPr>
                <w:b/>
                <w:bCs/>
                <w:sz w:val="20"/>
              </w:rPr>
            </w:pPr>
            <w:r>
              <w:rPr>
                <w:b/>
                <w:bCs/>
                <w:sz w:val="20"/>
              </w:rPr>
              <w:t>Minimum EER</w:t>
            </w:r>
          </w:p>
        </w:tc>
      </w:tr>
      <w:tr w:rsidR="002F1E06" w:rsidRPr="00A47168" w14:paraId="56C32BC4" w14:textId="61AF7EC2" w:rsidTr="003312F7">
        <w:trPr>
          <w:cantSplit/>
          <w:trHeight w:val="20"/>
        </w:trPr>
        <w:tc>
          <w:tcPr>
            <w:tcW w:w="2155" w:type="dxa"/>
            <w:vMerge w:val="restart"/>
            <w:noWrap/>
            <w:tcMar>
              <w:top w:w="0" w:type="dxa"/>
              <w:left w:w="108" w:type="dxa"/>
              <w:bottom w:w="0" w:type="dxa"/>
              <w:right w:w="108" w:type="dxa"/>
            </w:tcMar>
            <w:vAlign w:val="center"/>
          </w:tcPr>
          <w:p w14:paraId="0CD9D3EA" w14:textId="0BE2056B" w:rsidR="002F1E06" w:rsidRPr="00A47168" w:rsidRDefault="002F1E06" w:rsidP="003312F7">
            <w:pPr>
              <w:keepNext/>
              <w:spacing w:before="0" w:after="0" w:line="240" w:lineRule="auto"/>
              <w:rPr>
                <w:color w:val="000000"/>
                <w:sz w:val="20"/>
              </w:rPr>
            </w:pPr>
            <w:r>
              <w:rPr>
                <w:color w:val="000000"/>
                <w:sz w:val="20"/>
              </w:rPr>
              <w:t>Packaged AC</w:t>
            </w:r>
          </w:p>
        </w:tc>
        <w:tc>
          <w:tcPr>
            <w:tcW w:w="1440" w:type="dxa"/>
            <w:noWrap/>
            <w:tcMar>
              <w:top w:w="0" w:type="dxa"/>
              <w:left w:w="108" w:type="dxa"/>
              <w:bottom w:w="0" w:type="dxa"/>
              <w:right w:w="108" w:type="dxa"/>
            </w:tcMar>
            <w:vAlign w:val="center"/>
          </w:tcPr>
          <w:p w14:paraId="1BA36F3C" w14:textId="772DE5EE" w:rsidR="002F1E06" w:rsidRPr="00A47168" w:rsidRDefault="002F1E06" w:rsidP="003312F7">
            <w:pPr>
              <w:keepNext/>
              <w:spacing w:before="0" w:after="0" w:line="240" w:lineRule="auto"/>
              <w:rPr>
                <w:color w:val="000000"/>
                <w:sz w:val="20"/>
              </w:rPr>
            </w:pPr>
            <w:r>
              <w:rPr>
                <w:color w:val="000000"/>
                <w:sz w:val="20"/>
              </w:rPr>
              <w:t>Code</w:t>
            </w:r>
          </w:p>
        </w:tc>
        <w:tc>
          <w:tcPr>
            <w:tcW w:w="1440" w:type="dxa"/>
            <w:noWrap/>
            <w:tcMar>
              <w:top w:w="0" w:type="dxa"/>
              <w:left w:w="108" w:type="dxa"/>
              <w:bottom w:w="0" w:type="dxa"/>
              <w:right w:w="108" w:type="dxa"/>
            </w:tcMar>
            <w:vAlign w:val="center"/>
          </w:tcPr>
          <w:p w14:paraId="67EEFF40" w14:textId="7E35E4E1" w:rsidR="002F1E06" w:rsidRPr="00A47168" w:rsidRDefault="002F1E06" w:rsidP="003312F7">
            <w:pPr>
              <w:keepNext/>
              <w:spacing w:before="0" w:after="0" w:line="240" w:lineRule="auto"/>
              <w:jc w:val="center"/>
              <w:rPr>
                <w:color w:val="000000"/>
                <w:sz w:val="20"/>
              </w:rPr>
            </w:pPr>
            <w:r>
              <w:rPr>
                <w:color w:val="000000"/>
                <w:sz w:val="20"/>
              </w:rPr>
              <w:t>14</w:t>
            </w:r>
          </w:p>
        </w:tc>
        <w:tc>
          <w:tcPr>
            <w:tcW w:w="1440" w:type="dxa"/>
            <w:vAlign w:val="center"/>
          </w:tcPr>
          <w:p w14:paraId="249ECF8A" w14:textId="72D1D7CE" w:rsidR="002F1E06" w:rsidRPr="00A47168" w:rsidRDefault="002F1E06" w:rsidP="003312F7">
            <w:pPr>
              <w:keepNext/>
              <w:spacing w:before="0" w:after="0" w:line="240" w:lineRule="auto"/>
              <w:jc w:val="center"/>
              <w:rPr>
                <w:color w:val="000000"/>
                <w:sz w:val="20"/>
              </w:rPr>
            </w:pPr>
            <w:r>
              <w:rPr>
                <w:color w:val="000000"/>
                <w:sz w:val="20"/>
              </w:rPr>
              <w:t>11.6</w:t>
            </w:r>
          </w:p>
        </w:tc>
      </w:tr>
      <w:tr w:rsidR="002F1E06" w:rsidRPr="00A47168" w14:paraId="5796CF14" w14:textId="7B8CACA8" w:rsidTr="003312F7">
        <w:trPr>
          <w:cantSplit/>
          <w:trHeight w:val="20"/>
        </w:trPr>
        <w:tc>
          <w:tcPr>
            <w:tcW w:w="2155" w:type="dxa"/>
            <w:vMerge/>
            <w:noWrap/>
            <w:tcMar>
              <w:top w:w="0" w:type="dxa"/>
              <w:left w:w="108" w:type="dxa"/>
              <w:bottom w:w="0" w:type="dxa"/>
              <w:right w:w="108" w:type="dxa"/>
            </w:tcMar>
            <w:vAlign w:val="center"/>
          </w:tcPr>
          <w:p w14:paraId="1872DF2A" w14:textId="77777777" w:rsidR="002F1E06" w:rsidRPr="00A47168" w:rsidRDefault="002F1E06" w:rsidP="003312F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14:paraId="09E80363" w14:textId="5E00E9BB" w:rsidR="002F1E06" w:rsidRPr="00A47168" w:rsidRDefault="002F1E06" w:rsidP="003312F7">
            <w:pPr>
              <w:keepNext/>
              <w:spacing w:before="0" w:after="0" w:line="240" w:lineRule="auto"/>
              <w:rPr>
                <w:color w:val="000000"/>
                <w:sz w:val="20"/>
              </w:rPr>
            </w:pPr>
            <w:r>
              <w:rPr>
                <w:color w:val="000000"/>
                <w:sz w:val="20"/>
              </w:rPr>
              <w:t>Tier 1</w:t>
            </w:r>
          </w:p>
        </w:tc>
        <w:tc>
          <w:tcPr>
            <w:tcW w:w="1440" w:type="dxa"/>
            <w:noWrap/>
            <w:tcMar>
              <w:top w:w="0" w:type="dxa"/>
              <w:left w:w="108" w:type="dxa"/>
              <w:bottom w:w="0" w:type="dxa"/>
              <w:right w:w="108" w:type="dxa"/>
            </w:tcMar>
            <w:vAlign w:val="center"/>
          </w:tcPr>
          <w:p w14:paraId="24D69820" w14:textId="678FF2F4" w:rsidR="002F1E06" w:rsidRPr="00A47168" w:rsidRDefault="002F1E06" w:rsidP="003312F7">
            <w:pPr>
              <w:keepNext/>
              <w:spacing w:before="0" w:after="0" w:line="240" w:lineRule="auto"/>
              <w:jc w:val="center"/>
              <w:rPr>
                <w:color w:val="000000"/>
                <w:sz w:val="20"/>
              </w:rPr>
            </w:pPr>
            <w:r>
              <w:rPr>
                <w:color w:val="000000"/>
                <w:sz w:val="20"/>
              </w:rPr>
              <w:t>15</w:t>
            </w:r>
          </w:p>
        </w:tc>
        <w:tc>
          <w:tcPr>
            <w:tcW w:w="1440" w:type="dxa"/>
            <w:vAlign w:val="center"/>
          </w:tcPr>
          <w:p w14:paraId="5EC8ACD4" w14:textId="2F6A61ED" w:rsidR="002F1E06" w:rsidRPr="00A47168" w:rsidRDefault="002F1E06" w:rsidP="003312F7">
            <w:pPr>
              <w:keepNext/>
              <w:spacing w:before="0" w:after="0" w:line="240" w:lineRule="auto"/>
              <w:jc w:val="center"/>
              <w:rPr>
                <w:color w:val="000000"/>
                <w:sz w:val="20"/>
              </w:rPr>
            </w:pPr>
            <w:r>
              <w:rPr>
                <w:color w:val="000000"/>
                <w:sz w:val="20"/>
              </w:rPr>
              <w:t>12.0</w:t>
            </w:r>
          </w:p>
        </w:tc>
      </w:tr>
      <w:tr w:rsidR="002F1E06" w:rsidRPr="00A47168" w14:paraId="6F587700" w14:textId="539B2E56" w:rsidTr="003312F7">
        <w:trPr>
          <w:cantSplit/>
          <w:trHeight w:val="20"/>
        </w:trPr>
        <w:tc>
          <w:tcPr>
            <w:tcW w:w="2155" w:type="dxa"/>
            <w:vMerge/>
            <w:noWrap/>
            <w:tcMar>
              <w:top w:w="0" w:type="dxa"/>
              <w:left w:w="108" w:type="dxa"/>
              <w:bottom w:w="0" w:type="dxa"/>
              <w:right w:w="108" w:type="dxa"/>
            </w:tcMar>
            <w:vAlign w:val="center"/>
          </w:tcPr>
          <w:p w14:paraId="4F9308BB" w14:textId="77777777" w:rsidR="002F1E06" w:rsidRPr="00A47168" w:rsidRDefault="002F1E06" w:rsidP="003312F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14:paraId="56C2DF4D" w14:textId="48121B7D" w:rsidR="002F1E06" w:rsidRPr="00A47168" w:rsidRDefault="002F1E06" w:rsidP="003312F7">
            <w:pPr>
              <w:keepNext/>
              <w:spacing w:before="0" w:after="0" w:line="240" w:lineRule="auto"/>
              <w:rPr>
                <w:color w:val="000000"/>
                <w:sz w:val="20"/>
              </w:rPr>
            </w:pPr>
            <w:r>
              <w:rPr>
                <w:color w:val="000000"/>
                <w:sz w:val="20"/>
              </w:rPr>
              <w:t>Tier 2</w:t>
            </w:r>
          </w:p>
        </w:tc>
        <w:tc>
          <w:tcPr>
            <w:tcW w:w="1440" w:type="dxa"/>
            <w:noWrap/>
            <w:tcMar>
              <w:top w:w="0" w:type="dxa"/>
              <w:left w:w="108" w:type="dxa"/>
              <w:bottom w:w="0" w:type="dxa"/>
              <w:right w:w="108" w:type="dxa"/>
            </w:tcMar>
            <w:vAlign w:val="center"/>
          </w:tcPr>
          <w:p w14:paraId="0CFD5FFF" w14:textId="75B741C4" w:rsidR="002F1E06" w:rsidRPr="00A47168" w:rsidRDefault="002F1E06" w:rsidP="003312F7">
            <w:pPr>
              <w:keepNext/>
              <w:spacing w:before="0" w:after="0" w:line="240" w:lineRule="auto"/>
              <w:jc w:val="center"/>
              <w:rPr>
                <w:color w:val="000000"/>
                <w:sz w:val="20"/>
              </w:rPr>
            </w:pPr>
            <w:r>
              <w:rPr>
                <w:color w:val="000000"/>
                <w:sz w:val="20"/>
              </w:rPr>
              <w:t>16</w:t>
            </w:r>
          </w:p>
        </w:tc>
        <w:tc>
          <w:tcPr>
            <w:tcW w:w="1440" w:type="dxa"/>
            <w:vAlign w:val="center"/>
          </w:tcPr>
          <w:p w14:paraId="034D739C" w14:textId="1300EC64" w:rsidR="002F1E06" w:rsidRPr="00A47168" w:rsidRDefault="002F1E06" w:rsidP="003312F7">
            <w:pPr>
              <w:keepNext/>
              <w:spacing w:before="0" w:after="0" w:line="240" w:lineRule="auto"/>
              <w:jc w:val="center"/>
              <w:rPr>
                <w:color w:val="000000"/>
                <w:sz w:val="20"/>
              </w:rPr>
            </w:pPr>
            <w:r>
              <w:rPr>
                <w:color w:val="000000"/>
                <w:sz w:val="20"/>
              </w:rPr>
              <w:t>12.4</w:t>
            </w:r>
          </w:p>
        </w:tc>
      </w:tr>
      <w:tr w:rsidR="002F1E06" w:rsidRPr="00A47168" w14:paraId="14DA0DF9" w14:textId="77777777" w:rsidTr="003312F7">
        <w:trPr>
          <w:cantSplit/>
          <w:trHeight w:val="20"/>
        </w:trPr>
        <w:tc>
          <w:tcPr>
            <w:tcW w:w="2155" w:type="dxa"/>
            <w:vMerge/>
            <w:noWrap/>
            <w:tcMar>
              <w:top w:w="0" w:type="dxa"/>
              <w:left w:w="108" w:type="dxa"/>
              <w:bottom w:w="0" w:type="dxa"/>
              <w:right w:w="108" w:type="dxa"/>
            </w:tcMar>
            <w:vAlign w:val="center"/>
          </w:tcPr>
          <w:p w14:paraId="302B85AF" w14:textId="77777777" w:rsidR="002F1E06" w:rsidRPr="00A47168" w:rsidRDefault="002F1E06" w:rsidP="003312F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14:paraId="10B462FE" w14:textId="2F664C82" w:rsidR="002F1E06" w:rsidRDefault="002F1E06" w:rsidP="003312F7">
            <w:pPr>
              <w:keepNext/>
              <w:spacing w:before="0" w:after="0" w:line="240" w:lineRule="auto"/>
              <w:rPr>
                <w:color w:val="000000"/>
                <w:sz w:val="20"/>
              </w:rPr>
            </w:pPr>
            <w:r>
              <w:rPr>
                <w:color w:val="000000"/>
                <w:sz w:val="20"/>
              </w:rPr>
              <w:t>Tier 3</w:t>
            </w:r>
          </w:p>
        </w:tc>
        <w:tc>
          <w:tcPr>
            <w:tcW w:w="1440" w:type="dxa"/>
            <w:noWrap/>
            <w:tcMar>
              <w:top w:w="0" w:type="dxa"/>
              <w:left w:w="108" w:type="dxa"/>
              <w:bottom w:w="0" w:type="dxa"/>
              <w:right w:w="108" w:type="dxa"/>
            </w:tcMar>
            <w:vAlign w:val="center"/>
          </w:tcPr>
          <w:p w14:paraId="73466AA2" w14:textId="798E3E21" w:rsidR="002F1E06" w:rsidRPr="00A47168" w:rsidRDefault="002F1E06" w:rsidP="003312F7">
            <w:pPr>
              <w:keepNext/>
              <w:spacing w:before="0" w:after="0" w:line="240" w:lineRule="auto"/>
              <w:jc w:val="center"/>
              <w:rPr>
                <w:color w:val="000000"/>
                <w:sz w:val="20"/>
              </w:rPr>
            </w:pPr>
            <w:r>
              <w:rPr>
                <w:color w:val="000000"/>
                <w:sz w:val="20"/>
              </w:rPr>
              <w:t>17</w:t>
            </w:r>
          </w:p>
        </w:tc>
        <w:tc>
          <w:tcPr>
            <w:tcW w:w="1440" w:type="dxa"/>
            <w:vAlign w:val="center"/>
          </w:tcPr>
          <w:p w14:paraId="6F75CA2D" w14:textId="0C06FF67" w:rsidR="002F1E06" w:rsidRPr="00A47168" w:rsidRDefault="002F1E06" w:rsidP="003312F7">
            <w:pPr>
              <w:keepNext/>
              <w:spacing w:before="0" w:after="0" w:line="240" w:lineRule="auto"/>
              <w:jc w:val="center"/>
              <w:rPr>
                <w:color w:val="000000"/>
                <w:sz w:val="20"/>
              </w:rPr>
            </w:pPr>
            <w:r>
              <w:rPr>
                <w:color w:val="000000"/>
                <w:sz w:val="20"/>
              </w:rPr>
              <w:t>13.0</w:t>
            </w:r>
          </w:p>
        </w:tc>
      </w:tr>
      <w:tr w:rsidR="002F1E06" w:rsidRPr="00A47168" w14:paraId="18F5287A" w14:textId="77777777" w:rsidTr="003312F7">
        <w:trPr>
          <w:cantSplit/>
          <w:trHeight w:val="20"/>
        </w:trPr>
        <w:tc>
          <w:tcPr>
            <w:tcW w:w="2155" w:type="dxa"/>
            <w:vMerge/>
            <w:noWrap/>
            <w:tcMar>
              <w:top w:w="0" w:type="dxa"/>
              <w:left w:w="108" w:type="dxa"/>
              <w:bottom w:w="0" w:type="dxa"/>
              <w:right w:w="108" w:type="dxa"/>
            </w:tcMar>
            <w:vAlign w:val="center"/>
          </w:tcPr>
          <w:p w14:paraId="607DE646" w14:textId="77777777" w:rsidR="002F1E06" w:rsidRPr="00A47168" w:rsidRDefault="002F1E06" w:rsidP="003312F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14:paraId="58F7E33F" w14:textId="687F5B7A" w:rsidR="002F1E06" w:rsidRDefault="002F1E06" w:rsidP="003312F7">
            <w:pPr>
              <w:keepNext/>
              <w:spacing w:before="0" w:after="0" w:line="240" w:lineRule="auto"/>
              <w:rPr>
                <w:color w:val="000000"/>
                <w:sz w:val="20"/>
              </w:rPr>
            </w:pPr>
            <w:r>
              <w:rPr>
                <w:color w:val="000000"/>
                <w:sz w:val="20"/>
              </w:rPr>
              <w:t>Tier 4</w:t>
            </w:r>
          </w:p>
        </w:tc>
        <w:tc>
          <w:tcPr>
            <w:tcW w:w="1440" w:type="dxa"/>
            <w:noWrap/>
            <w:tcMar>
              <w:top w:w="0" w:type="dxa"/>
              <w:left w:w="108" w:type="dxa"/>
              <w:bottom w:w="0" w:type="dxa"/>
              <w:right w:w="108" w:type="dxa"/>
            </w:tcMar>
            <w:vAlign w:val="center"/>
          </w:tcPr>
          <w:p w14:paraId="38D5BD3B" w14:textId="50DA22E5" w:rsidR="002F1E06" w:rsidRPr="00A47168" w:rsidRDefault="002F1E06" w:rsidP="003312F7">
            <w:pPr>
              <w:keepNext/>
              <w:spacing w:before="0" w:after="0" w:line="240" w:lineRule="auto"/>
              <w:jc w:val="center"/>
              <w:rPr>
                <w:color w:val="000000"/>
                <w:sz w:val="20"/>
              </w:rPr>
            </w:pPr>
            <w:r>
              <w:rPr>
                <w:color w:val="000000"/>
                <w:sz w:val="20"/>
              </w:rPr>
              <w:t>18</w:t>
            </w:r>
          </w:p>
        </w:tc>
        <w:tc>
          <w:tcPr>
            <w:tcW w:w="1440" w:type="dxa"/>
            <w:vAlign w:val="center"/>
          </w:tcPr>
          <w:p w14:paraId="7AC95600" w14:textId="634FB9D9" w:rsidR="002F1E06" w:rsidRPr="00A47168" w:rsidRDefault="002F1E06" w:rsidP="003312F7">
            <w:pPr>
              <w:keepNext/>
              <w:spacing w:before="0" w:after="0" w:line="240" w:lineRule="auto"/>
              <w:jc w:val="center"/>
              <w:rPr>
                <w:color w:val="000000"/>
                <w:sz w:val="20"/>
              </w:rPr>
            </w:pPr>
            <w:r>
              <w:rPr>
                <w:color w:val="000000"/>
                <w:sz w:val="20"/>
              </w:rPr>
              <w:t>14.0</w:t>
            </w:r>
          </w:p>
        </w:tc>
      </w:tr>
      <w:tr w:rsidR="002F1E06" w:rsidRPr="00A47168" w14:paraId="2E0271B2" w14:textId="77777777" w:rsidTr="003312F7">
        <w:trPr>
          <w:cantSplit/>
          <w:trHeight w:val="20"/>
        </w:trPr>
        <w:tc>
          <w:tcPr>
            <w:tcW w:w="215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865651F" w14:textId="7E7984D6" w:rsidR="002F1E06" w:rsidRPr="00A47168" w:rsidRDefault="002F1E06" w:rsidP="003312F7">
            <w:pPr>
              <w:keepNext/>
              <w:spacing w:before="0" w:after="0" w:line="240" w:lineRule="auto"/>
              <w:rPr>
                <w:color w:val="000000"/>
                <w:sz w:val="20"/>
              </w:rPr>
            </w:pPr>
            <w:r>
              <w:rPr>
                <w:color w:val="000000"/>
                <w:sz w:val="20"/>
              </w:rPr>
              <w:t>Split System AC</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4E555A3" w14:textId="77777777" w:rsidR="002F1E06" w:rsidRPr="00A47168" w:rsidRDefault="002F1E06" w:rsidP="003312F7">
            <w:pPr>
              <w:keepNext/>
              <w:spacing w:before="0" w:after="0" w:line="240" w:lineRule="auto"/>
              <w:rPr>
                <w:color w:val="000000"/>
                <w:sz w:val="20"/>
              </w:rPr>
            </w:pPr>
            <w:r>
              <w:rPr>
                <w:color w:val="000000"/>
                <w:sz w:val="20"/>
              </w:rPr>
              <w:t>Code</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D134653" w14:textId="238537AB" w:rsidR="002F1E06" w:rsidRPr="00A47168" w:rsidRDefault="002F1E06" w:rsidP="003312F7">
            <w:pPr>
              <w:keepNext/>
              <w:spacing w:before="0" w:after="0" w:line="240" w:lineRule="auto"/>
              <w:jc w:val="center"/>
              <w:rPr>
                <w:color w:val="000000"/>
                <w:sz w:val="20"/>
              </w:rPr>
            </w:pPr>
            <w:r>
              <w:rPr>
                <w:color w:val="000000"/>
                <w:sz w:val="20"/>
              </w:rPr>
              <w:t>14</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77DBE82" w14:textId="787E9A53" w:rsidR="002F1E06" w:rsidRPr="00A47168" w:rsidRDefault="002F1E06" w:rsidP="003312F7">
            <w:pPr>
              <w:keepNext/>
              <w:spacing w:before="0" w:after="0" w:line="240" w:lineRule="auto"/>
              <w:jc w:val="center"/>
              <w:rPr>
                <w:color w:val="000000"/>
                <w:sz w:val="20"/>
              </w:rPr>
            </w:pPr>
            <w:r>
              <w:rPr>
                <w:color w:val="000000"/>
                <w:sz w:val="20"/>
              </w:rPr>
              <w:t>12.0</w:t>
            </w:r>
          </w:p>
        </w:tc>
      </w:tr>
      <w:tr w:rsidR="002F1E06" w:rsidRPr="00A47168" w14:paraId="563C84DB"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ED085DE"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0AC6513" w14:textId="77777777" w:rsidR="002F1E06" w:rsidRPr="00A47168" w:rsidRDefault="002F1E06" w:rsidP="003312F7">
            <w:pPr>
              <w:keepNext/>
              <w:spacing w:before="0" w:after="0" w:line="240" w:lineRule="auto"/>
              <w:rPr>
                <w:color w:val="000000"/>
                <w:sz w:val="20"/>
              </w:rPr>
            </w:pPr>
            <w:r>
              <w:rPr>
                <w:color w:val="000000"/>
                <w:sz w:val="20"/>
              </w:rPr>
              <w:t>Tier 1</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0AE520F" w14:textId="48B54DBC" w:rsidR="002F1E06" w:rsidRPr="00A47168" w:rsidRDefault="002F1E06" w:rsidP="003312F7">
            <w:pPr>
              <w:keepNext/>
              <w:spacing w:before="0" w:after="0" w:line="240" w:lineRule="auto"/>
              <w:jc w:val="center"/>
              <w:rPr>
                <w:color w:val="000000"/>
                <w:sz w:val="20"/>
              </w:rPr>
            </w:pPr>
            <w:r>
              <w:rPr>
                <w:color w:val="000000"/>
                <w:sz w:val="20"/>
              </w:rPr>
              <w:t>15</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8EE037" w14:textId="63D792D3" w:rsidR="002F1E06" w:rsidRPr="00A47168" w:rsidRDefault="002F1E06" w:rsidP="003312F7">
            <w:pPr>
              <w:keepNext/>
              <w:spacing w:before="0" w:after="0" w:line="240" w:lineRule="auto"/>
              <w:jc w:val="center"/>
              <w:rPr>
                <w:color w:val="000000"/>
                <w:sz w:val="20"/>
              </w:rPr>
            </w:pPr>
            <w:r>
              <w:rPr>
                <w:color w:val="000000"/>
                <w:sz w:val="20"/>
              </w:rPr>
              <w:t>12.5</w:t>
            </w:r>
          </w:p>
        </w:tc>
      </w:tr>
      <w:tr w:rsidR="002F1E06" w:rsidRPr="00A47168" w14:paraId="1A336B83"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AC1AE88"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351839B" w14:textId="77777777" w:rsidR="002F1E06" w:rsidRPr="00A47168" w:rsidRDefault="002F1E06" w:rsidP="003312F7">
            <w:pPr>
              <w:keepNext/>
              <w:spacing w:before="0" w:after="0" w:line="240" w:lineRule="auto"/>
              <w:rPr>
                <w:color w:val="000000"/>
                <w:sz w:val="20"/>
              </w:rPr>
            </w:pPr>
            <w:r>
              <w:rPr>
                <w:color w:val="000000"/>
                <w:sz w:val="20"/>
              </w:rPr>
              <w:t>Tier 2</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9328FE1" w14:textId="6E7406BD" w:rsidR="002F1E06" w:rsidRPr="00A47168" w:rsidRDefault="002F1E06" w:rsidP="003312F7">
            <w:pPr>
              <w:keepNext/>
              <w:spacing w:before="0" w:after="0" w:line="240" w:lineRule="auto"/>
              <w:jc w:val="center"/>
              <w:rPr>
                <w:color w:val="000000"/>
                <w:sz w:val="20"/>
              </w:rPr>
            </w:pPr>
            <w:r>
              <w:rPr>
                <w:color w:val="000000"/>
                <w:sz w:val="20"/>
              </w:rPr>
              <w:t>16</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C6518C" w14:textId="0B3CCC00" w:rsidR="002F1E06" w:rsidRPr="00A47168" w:rsidRDefault="002F1E06" w:rsidP="003312F7">
            <w:pPr>
              <w:keepNext/>
              <w:spacing w:before="0" w:after="0" w:line="240" w:lineRule="auto"/>
              <w:jc w:val="center"/>
              <w:rPr>
                <w:color w:val="000000"/>
                <w:sz w:val="20"/>
              </w:rPr>
            </w:pPr>
            <w:r>
              <w:rPr>
                <w:color w:val="000000"/>
                <w:sz w:val="20"/>
              </w:rPr>
              <w:t>13.0</w:t>
            </w:r>
          </w:p>
        </w:tc>
      </w:tr>
      <w:tr w:rsidR="002F1E06" w:rsidRPr="00A47168" w14:paraId="333FE8E2"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1B0399C"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09EF848" w14:textId="77777777" w:rsidR="002F1E06" w:rsidRDefault="002F1E06" w:rsidP="003312F7">
            <w:pPr>
              <w:keepNext/>
              <w:spacing w:before="0" w:after="0" w:line="240" w:lineRule="auto"/>
              <w:rPr>
                <w:color w:val="000000"/>
                <w:sz w:val="20"/>
              </w:rPr>
            </w:pPr>
            <w:r>
              <w:rPr>
                <w:color w:val="000000"/>
                <w:sz w:val="20"/>
              </w:rPr>
              <w:t>Tier 3</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DA79722" w14:textId="7433764B" w:rsidR="002F1E06" w:rsidRPr="00A47168" w:rsidRDefault="002F1E06" w:rsidP="003312F7">
            <w:pPr>
              <w:keepNext/>
              <w:spacing w:before="0" w:after="0" w:line="240" w:lineRule="auto"/>
              <w:jc w:val="center"/>
              <w:rPr>
                <w:color w:val="000000"/>
                <w:sz w:val="20"/>
              </w:rPr>
            </w:pPr>
            <w:r>
              <w:rPr>
                <w:color w:val="000000"/>
                <w:sz w:val="20"/>
              </w:rPr>
              <w:t>17</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5DB6EF" w14:textId="1DAE3151" w:rsidR="002F1E06" w:rsidRPr="00A47168" w:rsidRDefault="002F1E06" w:rsidP="003312F7">
            <w:pPr>
              <w:keepNext/>
              <w:spacing w:before="0" w:after="0" w:line="240" w:lineRule="auto"/>
              <w:jc w:val="center"/>
              <w:rPr>
                <w:color w:val="000000"/>
                <w:sz w:val="20"/>
              </w:rPr>
            </w:pPr>
            <w:r>
              <w:rPr>
                <w:color w:val="000000"/>
                <w:sz w:val="20"/>
              </w:rPr>
              <w:t>13.5</w:t>
            </w:r>
          </w:p>
        </w:tc>
      </w:tr>
      <w:tr w:rsidR="002F1E06" w:rsidRPr="00A47168" w14:paraId="56B9AB78" w14:textId="77777777" w:rsidTr="003312F7">
        <w:trPr>
          <w:cantSplit/>
          <w:trHeight w:val="20"/>
        </w:trPr>
        <w:tc>
          <w:tcPr>
            <w:tcW w:w="215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5D5FBE5"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D2D5934" w14:textId="77777777" w:rsidR="002F1E06" w:rsidRDefault="002F1E06" w:rsidP="003312F7">
            <w:pPr>
              <w:keepNext/>
              <w:spacing w:before="0" w:after="0" w:line="240" w:lineRule="auto"/>
              <w:rPr>
                <w:color w:val="000000"/>
                <w:sz w:val="20"/>
              </w:rPr>
            </w:pPr>
            <w:r>
              <w:rPr>
                <w:color w:val="000000"/>
                <w:sz w:val="20"/>
              </w:rPr>
              <w:t>Tier 4</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FC417FF" w14:textId="754E2257" w:rsidR="002F1E06" w:rsidRPr="00A47168" w:rsidRDefault="002F1E06" w:rsidP="003312F7">
            <w:pPr>
              <w:keepNext/>
              <w:spacing w:before="0" w:after="0" w:line="240" w:lineRule="auto"/>
              <w:jc w:val="center"/>
              <w:rPr>
                <w:color w:val="000000"/>
                <w:sz w:val="20"/>
              </w:rPr>
            </w:pPr>
            <w:r>
              <w:rPr>
                <w:color w:val="000000"/>
                <w:sz w:val="20"/>
              </w:rPr>
              <w:t>18</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D9986F" w14:textId="3D12E730" w:rsidR="002F1E06" w:rsidRPr="00A47168" w:rsidRDefault="002F1E06" w:rsidP="003312F7">
            <w:pPr>
              <w:keepNext/>
              <w:spacing w:before="0" w:after="0" w:line="240" w:lineRule="auto"/>
              <w:jc w:val="center"/>
              <w:rPr>
                <w:color w:val="000000"/>
                <w:sz w:val="20"/>
              </w:rPr>
            </w:pPr>
            <w:r>
              <w:rPr>
                <w:color w:val="000000"/>
                <w:sz w:val="20"/>
              </w:rPr>
              <w:t>14.0</w:t>
            </w:r>
          </w:p>
        </w:tc>
      </w:tr>
      <w:tr w:rsidR="002F1E06" w:rsidRPr="00A47168" w14:paraId="4987714F" w14:textId="77777777" w:rsidTr="003312F7">
        <w:trPr>
          <w:cantSplit/>
          <w:trHeight w:val="20"/>
        </w:trPr>
        <w:tc>
          <w:tcPr>
            <w:tcW w:w="215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38AC332" w14:textId="55FA490C" w:rsidR="002F1E06" w:rsidRPr="00A47168" w:rsidRDefault="002F1E06" w:rsidP="003312F7">
            <w:pPr>
              <w:keepNext/>
              <w:spacing w:before="0" w:after="0" w:line="240" w:lineRule="auto"/>
              <w:rPr>
                <w:color w:val="000000"/>
                <w:sz w:val="20"/>
              </w:rPr>
            </w:pPr>
            <w:r>
              <w:rPr>
                <w:color w:val="000000"/>
                <w:sz w:val="20"/>
              </w:rPr>
              <w:t>Packaged Air-cooled Heat Pump</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D6F2A21" w14:textId="77777777" w:rsidR="002F1E06" w:rsidRPr="00A47168" w:rsidRDefault="002F1E06" w:rsidP="003312F7">
            <w:pPr>
              <w:keepNext/>
              <w:spacing w:before="0" w:after="0" w:line="240" w:lineRule="auto"/>
              <w:rPr>
                <w:color w:val="000000"/>
                <w:sz w:val="20"/>
              </w:rPr>
            </w:pPr>
            <w:r>
              <w:rPr>
                <w:color w:val="000000"/>
                <w:sz w:val="20"/>
              </w:rPr>
              <w:t>Code</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CB03371" w14:textId="3CB0C52D" w:rsidR="002F1E06" w:rsidRPr="00A47168" w:rsidRDefault="002F1E06" w:rsidP="003312F7">
            <w:pPr>
              <w:keepNext/>
              <w:spacing w:before="0" w:after="0" w:line="240" w:lineRule="auto"/>
              <w:jc w:val="center"/>
              <w:rPr>
                <w:color w:val="000000"/>
                <w:sz w:val="20"/>
              </w:rPr>
            </w:pPr>
            <w:r>
              <w:rPr>
                <w:color w:val="000000"/>
                <w:sz w:val="20"/>
              </w:rPr>
              <w:t>14</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B24ED7" w14:textId="3D95BA70" w:rsidR="002F1E06" w:rsidRPr="00A47168" w:rsidRDefault="002F1E06" w:rsidP="003312F7">
            <w:pPr>
              <w:keepNext/>
              <w:spacing w:before="0" w:after="0" w:line="240" w:lineRule="auto"/>
              <w:jc w:val="center"/>
              <w:rPr>
                <w:color w:val="000000"/>
                <w:sz w:val="20"/>
              </w:rPr>
            </w:pPr>
            <w:r>
              <w:rPr>
                <w:color w:val="000000"/>
                <w:sz w:val="20"/>
              </w:rPr>
              <w:t>11.6</w:t>
            </w:r>
          </w:p>
        </w:tc>
      </w:tr>
      <w:tr w:rsidR="002F1E06" w:rsidRPr="00A47168" w14:paraId="2F046722"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12D06B"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8D28837" w14:textId="77777777" w:rsidR="002F1E06" w:rsidRPr="00A47168" w:rsidRDefault="002F1E06" w:rsidP="003312F7">
            <w:pPr>
              <w:keepNext/>
              <w:spacing w:before="0" w:after="0" w:line="240" w:lineRule="auto"/>
              <w:rPr>
                <w:color w:val="000000"/>
                <w:sz w:val="20"/>
              </w:rPr>
            </w:pPr>
            <w:r>
              <w:rPr>
                <w:color w:val="000000"/>
                <w:sz w:val="20"/>
              </w:rPr>
              <w:t>Tier 1</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FC07CD3" w14:textId="648922BE" w:rsidR="002F1E06" w:rsidRPr="00A47168" w:rsidRDefault="002F1E06" w:rsidP="003312F7">
            <w:pPr>
              <w:keepNext/>
              <w:spacing w:before="0" w:after="0" w:line="240" w:lineRule="auto"/>
              <w:jc w:val="center"/>
              <w:rPr>
                <w:color w:val="000000"/>
                <w:sz w:val="20"/>
              </w:rPr>
            </w:pPr>
            <w:r>
              <w:rPr>
                <w:color w:val="000000"/>
                <w:sz w:val="20"/>
              </w:rPr>
              <w:t>15</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6817223" w14:textId="341E2817" w:rsidR="002F1E06" w:rsidRPr="00A47168" w:rsidRDefault="002F1E06" w:rsidP="003312F7">
            <w:pPr>
              <w:keepNext/>
              <w:spacing w:before="0" w:after="0" w:line="240" w:lineRule="auto"/>
              <w:jc w:val="center"/>
              <w:rPr>
                <w:color w:val="000000"/>
                <w:sz w:val="20"/>
              </w:rPr>
            </w:pPr>
            <w:r>
              <w:rPr>
                <w:color w:val="000000"/>
                <w:sz w:val="20"/>
              </w:rPr>
              <w:t>12.0</w:t>
            </w:r>
          </w:p>
        </w:tc>
      </w:tr>
      <w:tr w:rsidR="002F1E06" w:rsidRPr="00A47168" w14:paraId="7CB972B4"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6F54297"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A088063" w14:textId="77777777" w:rsidR="002F1E06" w:rsidRPr="00A47168" w:rsidRDefault="002F1E06" w:rsidP="003312F7">
            <w:pPr>
              <w:keepNext/>
              <w:spacing w:before="0" w:after="0" w:line="240" w:lineRule="auto"/>
              <w:rPr>
                <w:color w:val="000000"/>
                <w:sz w:val="20"/>
              </w:rPr>
            </w:pPr>
            <w:r>
              <w:rPr>
                <w:color w:val="000000"/>
                <w:sz w:val="20"/>
              </w:rPr>
              <w:t>Tier 2</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3320E29" w14:textId="7C06B33A" w:rsidR="002F1E06" w:rsidRPr="00A47168" w:rsidRDefault="002F1E06" w:rsidP="003312F7">
            <w:pPr>
              <w:keepNext/>
              <w:spacing w:before="0" w:after="0" w:line="240" w:lineRule="auto"/>
              <w:jc w:val="center"/>
              <w:rPr>
                <w:color w:val="000000"/>
                <w:sz w:val="20"/>
              </w:rPr>
            </w:pPr>
            <w:r>
              <w:rPr>
                <w:color w:val="000000"/>
                <w:sz w:val="20"/>
              </w:rPr>
              <w:t>16</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561D93" w14:textId="03F4C630" w:rsidR="002F1E06" w:rsidRPr="00A47168" w:rsidRDefault="002F1E06" w:rsidP="003312F7">
            <w:pPr>
              <w:keepNext/>
              <w:spacing w:before="0" w:after="0" w:line="240" w:lineRule="auto"/>
              <w:jc w:val="center"/>
              <w:rPr>
                <w:color w:val="000000"/>
                <w:sz w:val="20"/>
              </w:rPr>
            </w:pPr>
            <w:r>
              <w:rPr>
                <w:color w:val="000000"/>
                <w:sz w:val="20"/>
              </w:rPr>
              <w:t>12.4</w:t>
            </w:r>
          </w:p>
        </w:tc>
      </w:tr>
      <w:tr w:rsidR="002F1E06" w:rsidRPr="00A47168" w14:paraId="59E31AEC"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1726F94"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E2F7B46" w14:textId="77777777" w:rsidR="002F1E06" w:rsidRDefault="002F1E06" w:rsidP="003312F7">
            <w:pPr>
              <w:keepNext/>
              <w:spacing w:before="0" w:after="0" w:line="240" w:lineRule="auto"/>
              <w:rPr>
                <w:color w:val="000000"/>
                <w:sz w:val="20"/>
              </w:rPr>
            </w:pPr>
            <w:r>
              <w:rPr>
                <w:color w:val="000000"/>
                <w:sz w:val="20"/>
              </w:rPr>
              <w:t>Tier 3</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E9905AC" w14:textId="2816C0F7" w:rsidR="002F1E06" w:rsidRPr="00A47168" w:rsidRDefault="002F1E06" w:rsidP="003312F7">
            <w:pPr>
              <w:keepNext/>
              <w:spacing w:before="0" w:after="0" w:line="240" w:lineRule="auto"/>
              <w:jc w:val="center"/>
              <w:rPr>
                <w:color w:val="000000"/>
                <w:sz w:val="20"/>
              </w:rPr>
            </w:pPr>
            <w:r>
              <w:rPr>
                <w:color w:val="000000"/>
                <w:sz w:val="20"/>
              </w:rPr>
              <w:t>17</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7B57C6" w14:textId="6063CC05" w:rsidR="002F1E06" w:rsidRPr="00A47168" w:rsidRDefault="002F1E06" w:rsidP="003312F7">
            <w:pPr>
              <w:keepNext/>
              <w:spacing w:before="0" w:after="0" w:line="240" w:lineRule="auto"/>
              <w:jc w:val="center"/>
              <w:rPr>
                <w:color w:val="000000"/>
                <w:sz w:val="20"/>
              </w:rPr>
            </w:pPr>
            <w:r>
              <w:rPr>
                <w:color w:val="000000"/>
                <w:sz w:val="20"/>
              </w:rPr>
              <w:t>13.0</w:t>
            </w:r>
          </w:p>
        </w:tc>
      </w:tr>
      <w:tr w:rsidR="002F1E06" w:rsidRPr="00A47168" w14:paraId="0AB5FE93" w14:textId="77777777" w:rsidTr="003312F7">
        <w:trPr>
          <w:cantSplit/>
          <w:trHeight w:val="20"/>
        </w:trPr>
        <w:tc>
          <w:tcPr>
            <w:tcW w:w="215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88CC153"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AE17514" w14:textId="77777777" w:rsidR="002F1E06" w:rsidRDefault="002F1E06" w:rsidP="003312F7">
            <w:pPr>
              <w:keepNext/>
              <w:spacing w:before="0" w:after="0" w:line="240" w:lineRule="auto"/>
              <w:rPr>
                <w:color w:val="000000"/>
                <w:sz w:val="20"/>
              </w:rPr>
            </w:pPr>
            <w:r>
              <w:rPr>
                <w:color w:val="000000"/>
                <w:sz w:val="20"/>
              </w:rPr>
              <w:t>Tier 4</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65557B5" w14:textId="0BF5982E" w:rsidR="002F1E06" w:rsidRPr="00A47168" w:rsidRDefault="002F1E06" w:rsidP="003312F7">
            <w:pPr>
              <w:keepNext/>
              <w:spacing w:before="0" w:after="0" w:line="240" w:lineRule="auto"/>
              <w:jc w:val="center"/>
              <w:rPr>
                <w:color w:val="000000"/>
                <w:sz w:val="20"/>
              </w:rPr>
            </w:pPr>
            <w:r>
              <w:rPr>
                <w:color w:val="000000"/>
                <w:sz w:val="20"/>
              </w:rPr>
              <w:t>18</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12939E" w14:textId="6F96B893" w:rsidR="002F1E06" w:rsidRPr="00A47168" w:rsidRDefault="002F1E06" w:rsidP="003312F7">
            <w:pPr>
              <w:keepNext/>
              <w:spacing w:before="0" w:after="0" w:line="240" w:lineRule="auto"/>
              <w:jc w:val="center"/>
              <w:rPr>
                <w:color w:val="000000"/>
                <w:sz w:val="20"/>
              </w:rPr>
            </w:pPr>
            <w:r>
              <w:rPr>
                <w:color w:val="000000"/>
                <w:sz w:val="20"/>
              </w:rPr>
              <w:t>14.0</w:t>
            </w:r>
          </w:p>
        </w:tc>
      </w:tr>
      <w:tr w:rsidR="002F1E06" w:rsidRPr="00A47168" w14:paraId="58285431" w14:textId="77777777" w:rsidTr="003312F7">
        <w:trPr>
          <w:cantSplit/>
          <w:trHeight w:val="20"/>
        </w:trPr>
        <w:tc>
          <w:tcPr>
            <w:tcW w:w="215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B7ECD52" w14:textId="5084B1A5" w:rsidR="002F1E06" w:rsidRPr="00A47168" w:rsidRDefault="002F1E06" w:rsidP="003312F7">
            <w:pPr>
              <w:keepNext/>
              <w:spacing w:before="0" w:after="0" w:line="240" w:lineRule="auto"/>
              <w:rPr>
                <w:color w:val="000000"/>
                <w:sz w:val="20"/>
              </w:rPr>
            </w:pPr>
            <w:r>
              <w:rPr>
                <w:color w:val="000000"/>
                <w:sz w:val="20"/>
              </w:rPr>
              <w:t>Split System Air-cooled Heat Pump</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A97B128" w14:textId="77777777" w:rsidR="002F1E06" w:rsidRPr="00A47168" w:rsidRDefault="002F1E06" w:rsidP="003312F7">
            <w:pPr>
              <w:keepNext/>
              <w:spacing w:before="0" w:after="0" w:line="240" w:lineRule="auto"/>
              <w:rPr>
                <w:color w:val="000000"/>
                <w:sz w:val="20"/>
              </w:rPr>
            </w:pPr>
            <w:r>
              <w:rPr>
                <w:color w:val="000000"/>
                <w:sz w:val="20"/>
              </w:rPr>
              <w:t>Code</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8743ACD" w14:textId="1DEF3BE8" w:rsidR="002F1E06" w:rsidRPr="00A47168" w:rsidRDefault="002F1E06" w:rsidP="003312F7">
            <w:pPr>
              <w:keepNext/>
              <w:spacing w:before="0" w:after="0" w:line="240" w:lineRule="auto"/>
              <w:jc w:val="center"/>
              <w:rPr>
                <w:color w:val="000000"/>
                <w:sz w:val="20"/>
              </w:rPr>
            </w:pPr>
            <w:r>
              <w:rPr>
                <w:color w:val="000000"/>
                <w:sz w:val="20"/>
              </w:rPr>
              <w:t>14</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009A32" w14:textId="1234C600" w:rsidR="002F1E06" w:rsidRPr="00A47168" w:rsidRDefault="002F1E06" w:rsidP="003312F7">
            <w:pPr>
              <w:keepNext/>
              <w:spacing w:before="0" w:after="0" w:line="240" w:lineRule="auto"/>
              <w:jc w:val="center"/>
              <w:rPr>
                <w:color w:val="000000"/>
                <w:sz w:val="20"/>
              </w:rPr>
            </w:pPr>
            <w:r>
              <w:rPr>
                <w:color w:val="000000"/>
                <w:sz w:val="20"/>
              </w:rPr>
              <w:t>12.0</w:t>
            </w:r>
          </w:p>
        </w:tc>
      </w:tr>
      <w:tr w:rsidR="002F1E06" w:rsidRPr="00A47168" w14:paraId="1502BF36"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E32C873"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D40A5CB" w14:textId="77777777" w:rsidR="002F1E06" w:rsidRPr="00A47168" w:rsidRDefault="002F1E06" w:rsidP="003312F7">
            <w:pPr>
              <w:keepNext/>
              <w:spacing w:before="0" w:after="0" w:line="240" w:lineRule="auto"/>
              <w:rPr>
                <w:color w:val="000000"/>
                <w:sz w:val="20"/>
              </w:rPr>
            </w:pPr>
            <w:r>
              <w:rPr>
                <w:color w:val="000000"/>
                <w:sz w:val="20"/>
              </w:rPr>
              <w:t>Tier 1</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4251132" w14:textId="7DDA0061" w:rsidR="002F1E06" w:rsidRPr="00A47168" w:rsidRDefault="002F1E06" w:rsidP="003312F7">
            <w:pPr>
              <w:keepNext/>
              <w:spacing w:before="0" w:after="0" w:line="240" w:lineRule="auto"/>
              <w:jc w:val="center"/>
              <w:rPr>
                <w:color w:val="000000"/>
                <w:sz w:val="20"/>
              </w:rPr>
            </w:pPr>
            <w:r>
              <w:rPr>
                <w:color w:val="000000"/>
                <w:sz w:val="20"/>
              </w:rPr>
              <w:t>15</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D118AB3" w14:textId="0D9CAEA0" w:rsidR="002F1E06" w:rsidRPr="00A47168" w:rsidRDefault="002F1E06" w:rsidP="003312F7">
            <w:pPr>
              <w:keepNext/>
              <w:spacing w:before="0" w:after="0" w:line="240" w:lineRule="auto"/>
              <w:jc w:val="center"/>
              <w:rPr>
                <w:color w:val="000000"/>
                <w:sz w:val="20"/>
              </w:rPr>
            </w:pPr>
            <w:r>
              <w:rPr>
                <w:color w:val="000000"/>
                <w:sz w:val="20"/>
              </w:rPr>
              <w:t>12.5</w:t>
            </w:r>
          </w:p>
        </w:tc>
      </w:tr>
      <w:tr w:rsidR="002F1E06" w:rsidRPr="00A47168" w14:paraId="3E47E115"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56E275A"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DE86C09" w14:textId="77777777" w:rsidR="002F1E06" w:rsidRPr="00A47168" w:rsidRDefault="002F1E06" w:rsidP="003312F7">
            <w:pPr>
              <w:keepNext/>
              <w:spacing w:before="0" w:after="0" w:line="240" w:lineRule="auto"/>
              <w:rPr>
                <w:color w:val="000000"/>
                <w:sz w:val="20"/>
              </w:rPr>
            </w:pPr>
            <w:r>
              <w:rPr>
                <w:color w:val="000000"/>
                <w:sz w:val="20"/>
              </w:rPr>
              <w:t>Tier 2</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8853B8F" w14:textId="2F4D85EC" w:rsidR="002F1E06" w:rsidRPr="00A47168" w:rsidRDefault="002F1E06" w:rsidP="003312F7">
            <w:pPr>
              <w:keepNext/>
              <w:spacing w:before="0" w:after="0" w:line="240" w:lineRule="auto"/>
              <w:jc w:val="center"/>
              <w:rPr>
                <w:color w:val="000000"/>
                <w:sz w:val="20"/>
              </w:rPr>
            </w:pPr>
            <w:r>
              <w:rPr>
                <w:color w:val="000000"/>
                <w:sz w:val="20"/>
              </w:rPr>
              <w:t>16</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4AAFD3" w14:textId="4EE3E24F" w:rsidR="002F1E06" w:rsidRPr="00A47168" w:rsidRDefault="002F1E06" w:rsidP="003312F7">
            <w:pPr>
              <w:keepNext/>
              <w:spacing w:before="0" w:after="0" w:line="240" w:lineRule="auto"/>
              <w:jc w:val="center"/>
              <w:rPr>
                <w:color w:val="000000"/>
                <w:sz w:val="20"/>
              </w:rPr>
            </w:pPr>
            <w:r>
              <w:rPr>
                <w:color w:val="000000"/>
                <w:sz w:val="20"/>
              </w:rPr>
              <w:t>13.0</w:t>
            </w:r>
          </w:p>
        </w:tc>
      </w:tr>
      <w:tr w:rsidR="002F1E06" w:rsidRPr="00A47168" w14:paraId="2A0B33AF" w14:textId="77777777" w:rsidTr="003312F7">
        <w:trPr>
          <w:cantSplit/>
          <w:trHeight w:val="20"/>
        </w:trPr>
        <w:tc>
          <w:tcPr>
            <w:tcW w:w="2155" w:type="dxa"/>
            <w:vMerge/>
            <w:tcBorders>
              <w:left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692BBA4"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6357AB1" w14:textId="77777777" w:rsidR="002F1E06" w:rsidRDefault="002F1E06" w:rsidP="003312F7">
            <w:pPr>
              <w:keepNext/>
              <w:spacing w:before="0" w:after="0" w:line="240" w:lineRule="auto"/>
              <w:rPr>
                <w:color w:val="000000"/>
                <w:sz w:val="20"/>
              </w:rPr>
            </w:pPr>
            <w:r>
              <w:rPr>
                <w:color w:val="000000"/>
                <w:sz w:val="20"/>
              </w:rPr>
              <w:t>Tier 3</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B0924B" w14:textId="4C176BCD" w:rsidR="002F1E06" w:rsidRPr="00A47168" w:rsidRDefault="002F1E06" w:rsidP="003312F7">
            <w:pPr>
              <w:keepNext/>
              <w:spacing w:before="0" w:after="0" w:line="240" w:lineRule="auto"/>
              <w:jc w:val="center"/>
              <w:rPr>
                <w:color w:val="000000"/>
                <w:sz w:val="20"/>
              </w:rPr>
            </w:pPr>
            <w:r>
              <w:rPr>
                <w:color w:val="000000"/>
                <w:sz w:val="20"/>
              </w:rPr>
              <w:t>17</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E937B7" w14:textId="176DC6DA" w:rsidR="002F1E06" w:rsidRPr="00A47168" w:rsidRDefault="002F1E06" w:rsidP="003312F7">
            <w:pPr>
              <w:keepNext/>
              <w:spacing w:before="0" w:after="0" w:line="240" w:lineRule="auto"/>
              <w:jc w:val="center"/>
              <w:rPr>
                <w:color w:val="000000"/>
                <w:sz w:val="20"/>
              </w:rPr>
            </w:pPr>
            <w:r>
              <w:rPr>
                <w:color w:val="000000"/>
                <w:sz w:val="20"/>
              </w:rPr>
              <w:t>13.5</w:t>
            </w:r>
          </w:p>
        </w:tc>
      </w:tr>
      <w:tr w:rsidR="002F1E06" w:rsidRPr="00A47168" w14:paraId="4CC814F2" w14:textId="77777777" w:rsidTr="003312F7">
        <w:trPr>
          <w:cantSplit/>
          <w:trHeight w:val="20"/>
        </w:trPr>
        <w:tc>
          <w:tcPr>
            <w:tcW w:w="215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ACA9000" w14:textId="77777777" w:rsidR="002F1E06" w:rsidRPr="00A47168" w:rsidRDefault="002F1E06" w:rsidP="003312F7">
            <w:pPr>
              <w:keepNext/>
              <w:spacing w:before="0" w:after="0" w:line="240" w:lineRule="auto"/>
              <w:rPr>
                <w:color w:val="000000"/>
                <w:sz w:val="20"/>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8031829" w14:textId="77777777" w:rsidR="002F1E06" w:rsidRDefault="002F1E06" w:rsidP="003312F7">
            <w:pPr>
              <w:keepNext/>
              <w:spacing w:before="0" w:after="0" w:line="240" w:lineRule="auto"/>
              <w:rPr>
                <w:color w:val="000000"/>
                <w:sz w:val="20"/>
              </w:rPr>
            </w:pPr>
            <w:r>
              <w:rPr>
                <w:color w:val="000000"/>
                <w:sz w:val="20"/>
              </w:rPr>
              <w:t>Tier 4</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9C28D4C" w14:textId="398F72BC" w:rsidR="002F1E06" w:rsidRPr="00A47168" w:rsidRDefault="002F1E06" w:rsidP="003312F7">
            <w:pPr>
              <w:keepNext/>
              <w:spacing w:before="0" w:after="0" w:line="240" w:lineRule="auto"/>
              <w:jc w:val="center"/>
              <w:rPr>
                <w:color w:val="000000"/>
                <w:sz w:val="20"/>
              </w:rPr>
            </w:pPr>
            <w:r>
              <w:rPr>
                <w:color w:val="000000"/>
                <w:sz w:val="20"/>
              </w:rPr>
              <w:t>18</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7B3837C" w14:textId="69725031" w:rsidR="002F1E06" w:rsidRPr="00A47168" w:rsidRDefault="002F1E06" w:rsidP="003312F7">
            <w:pPr>
              <w:keepNext/>
              <w:spacing w:before="0" w:after="0" w:line="240" w:lineRule="auto"/>
              <w:jc w:val="center"/>
              <w:rPr>
                <w:color w:val="000000"/>
                <w:sz w:val="20"/>
              </w:rPr>
            </w:pPr>
            <w:r>
              <w:rPr>
                <w:color w:val="000000"/>
                <w:sz w:val="20"/>
              </w:rPr>
              <w:t>14.0</w:t>
            </w:r>
          </w:p>
        </w:tc>
      </w:tr>
    </w:tbl>
    <w:p w14:paraId="783770E6" w14:textId="259B1735" w:rsidR="00556261" w:rsidRDefault="00556261" w:rsidP="002B55DD">
      <w:pPr>
        <w:pStyle w:val="eTRMHeading5"/>
      </w:pPr>
    </w:p>
    <w:p w14:paraId="49D61442" w14:textId="6310EF7F" w:rsidR="0054736B" w:rsidRPr="0054736B" w:rsidRDefault="0054736B" w:rsidP="0054736B">
      <w:bookmarkStart w:id="31" w:name="_Hlk517816117"/>
      <w:r>
        <w:t>Additional eligibility requirements include:</w:t>
      </w:r>
    </w:p>
    <w:p w14:paraId="4BA3A437" w14:textId="7CA8E801" w:rsidR="0054736B" w:rsidRDefault="009D22F9" w:rsidP="0054736B">
      <w:pPr>
        <w:pStyle w:val="eTRMBulletedText"/>
      </w:pPr>
      <w:r>
        <w:t>All unitary</w:t>
      </w:r>
      <w:r w:rsidR="00954781">
        <w:t xml:space="preserve"> AC</w:t>
      </w:r>
      <w:r>
        <w:t xml:space="preserve"> equipment is eligible. </w:t>
      </w:r>
    </w:p>
    <w:p w14:paraId="735D8D41" w14:textId="1D17272E" w:rsidR="009D22F9" w:rsidRDefault="0054736B" w:rsidP="0054736B">
      <w:pPr>
        <w:pStyle w:val="eTRMBulletedText"/>
      </w:pPr>
      <w:r>
        <w:t>The r</w:t>
      </w:r>
      <w:r w:rsidR="009D22F9">
        <w:t xml:space="preserve">eplacement must be </w:t>
      </w:r>
      <w:r>
        <w:t>“</w:t>
      </w:r>
      <w:r w:rsidR="009D22F9">
        <w:t>like for like</w:t>
      </w:r>
      <w:r>
        <w:t>” (i.e., a heat pump for a heat pump)</w:t>
      </w:r>
    </w:p>
    <w:p w14:paraId="6700F397" w14:textId="461AD63A" w:rsidR="009D22F9" w:rsidRDefault="009D22F9" w:rsidP="0054736B">
      <w:pPr>
        <w:pStyle w:val="eTRMBulletedText"/>
      </w:pPr>
      <w:r>
        <w:t>Retrofitted equipment must have cooling capacity (e.g., Btu</w:t>
      </w:r>
      <w:r w:rsidR="00C24445">
        <w:t>/</w:t>
      </w:r>
      <w:r>
        <w:t xml:space="preserve">h) within +/- 5% of existing equipment OR </w:t>
      </w:r>
      <w:r w:rsidR="0054736B">
        <w:t xml:space="preserve">the </w:t>
      </w:r>
      <w:r>
        <w:t>contractor must provide a load calculation verifying that the new unit is sized correctly for the load.</w:t>
      </w:r>
    </w:p>
    <w:bookmarkEnd w:id="31"/>
    <w:p w14:paraId="23ABD6EB" w14:textId="77777777" w:rsidR="002F1E06" w:rsidRPr="002F1E06" w:rsidRDefault="002F1E06" w:rsidP="002F1E06"/>
    <w:p w14:paraId="7CE938DA" w14:textId="53F4FA69" w:rsidR="007B6A74" w:rsidRPr="00401C43" w:rsidRDefault="007B6A74" w:rsidP="00401C43">
      <w:pPr>
        <w:pStyle w:val="eTRMHeading5"/>
      </w:pPr>
      <w:r w:rsidRPr="00401C43">
        <w:t>Eligible Building Types</w:t>
      </w:r>
      <w:r w:rsidR="00E57AAD">
        <w:t xml:space="preserve"> and Vintages</w:t>
      </w:r>
    </w:p>
    <w:p w14:paraId="6A9037D5" w14:textId="122D4117" w:rsidR="006F3F0C" w:rsidRDefault="0093547A" w:rsidP="006F3F0C">
      <w:bookmarkStart w:id="32" w:name="_Hlk517817656"/>
      <w:r>
        <w:t>This measure is applicable for a</w:t>
      </w:r>
      <w:r w:rsidR="006F3F0C">
        <w:t>ll nonresidential building types and vintages.</w:t>
      </w:r>
    </w:p>
    <w:bookmarkEnd w:id="32"/>
    <w:p w14:paraId="7AA25502" w14:textId="77777777" w:rsidR="00571D95" w:rsidRPr="00571D95" w:rsidRDefault="00571D95" w:rsidP="00571D95"/>
    <w:p w14:paraId="1A3705F3" w14:textId="4BC0985D" w:rsidR="007B6A74" w:rsidRPr="004B06E3" w:rsidRDefault="00196649" w:rsidP="00154391">
      <w:pPr>
        <w:pStyle w:val="eTRMHeading5"/>
      </w:pPr>
      <w:r>
        <w:t>Eligible Climate Zones</w:t>
      </w:r>
    </w:p>
    <w:p w14:paraId="4A9FD22A" w14:textId="7594C966" w:rsidR="004B6780" w:rsidRDefault="004B6780" w:rsidP="004B6780">
      <w:r>
        <w:t xml:space="preserve">This measure is applicable </w:t>
      </w:r>
      <w:r w:rsidR="0093547A">
        <w:t>in</w:t>
      </w:r>
      <w:r>
        <w:t xml:space="preserve"> </w:t>
      </w:r>
      <w:r w:rsidR="00BE7DE8">
        <w:t>any</w:t>
      </w:r>
      <w:r>
        <w:t xml:space="preserve"> 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33" w:name="_Toc486490853"/>
      <w:bookmarkStart w:id="34" w:name="_Toc486580924"/>
      <w:bookmarkStart w:id="35" w:name="_Toc20997200"/>
      <w:r w:rsidRPr="004B06E3">
        <w:t>Program Exclusions</w:t>
      </w:r>
      <w:bookmarkEnd w:id="33"/>
      <w:bookmarkEnd w:id="34"/>
      <w:bookmarkEnd w:id="35"/>
      <w:r w:rsidRPr="004B06E3">
        <w:t xml:space="preserve"> </w:t>
      </w:r>
    </w:p>
    <w:p w14:paraId="76A9A64F" w14:textId="52B9241F" w:rsidR="007B6A74" w:rsidRDefault="009D22F9" w:rsidP="004B06E3">
      <w:bookmarkStart w:id="36" w:name="_Hlk517816158"/>
      <w:r>
        <w:t xml:space="preserve">Central systems and </w:t>
      </w:r>
      <w:r w:rsidR="00F84888">
        <w:t>domestic hot water</w:t>
      </w:r>
      <w:r>
        <w:t xml:space="preserve"> systems are not eligible.</w:t>
      </w:r>
    </w:p>
    <w:bookmarkEnd w:id="36"/>
    <w:p w14:paraId="0BF4BC90" w14:textId="77777777" w:rsidR="009D22F9" w:rsidRPr="004B06E3" w:rsidRDefault="009D22F9" w:rsidP="004B06E3"/>
    <w:p w14:paraId="655E299F" w14:textId="77777777" w:rsidR="007D230B" w:rsidRPr="004B06E3" w:rsidRDefault="007D230B" w:rsidP="00462BB6">
      <w:pPr>
        <w:pStyle w:val="eTRMHeading3"/>
      </w:pPr>
      <w:bookmarkStart w:id="37" w:name="_Toc486490854"/>
      <w:bookmarkStart w:id="38" w:name="_Toc486580925"/>
      <w:bookmarkStart w:id="39" w:name="_Toc20997201"/>
      <w:r w:rsidRPr="004B06E3">
        <w:lastRenderedPageBreak/>
        <w:t>Data Collection Requirements</w:t>
      </w:r>
      <w:bookmarkEnd w:id="37"/>
      <w:bookmarkEnd w:id="38"/>
      <w:bookmarkEnd w:id="39"/>
      <w:r w:rsidRPr="004B06E3">
        <w:t xml:space="preserve"> </w:t>
      </w:r>
    </w:p>
    <w:p w14:paraId="4AA6F6B6" w14:textId="0998EF4D" w:rsidR="00713E15" w:rsidRPr="004B06E3" w:rsidRDefault="00713E15" w:rsidP="004B06E3">
      <w:r>
        <w:t>Data collection requirements</w:t>
      </w:r>
      <w:r w:rsidR="00E105ED">
        <w:t xml:space="preserve"> f</w:t>
      </w:r>
      <w:r w:rsidR="00EF1F4C" w:rsidRPr="00EF1F4C">
        <w:t>or midstream and upstream deliveries, when possible, the program administrator (PA) shall claim the “specific building type savings” in which the equipment will be installed and submit that information at claims level on CEDARS website. In cases where there is no “building type” information available for a given project, program administrator shall claim the weighted savings of “Com” building type.”</w:t>
      </w:r>
    </w:p>
    <w:p w14:paraId="4891FCAB" w14:textId="77777777" w:rsidR="007D230B" w:rsidRPr="004B06E3" w:rsidRDefault="007D230B" w:rsidP="00462BB6">
      <w:pPr>
        <w:pStyle w:val="eTRMHeading3"/>
      </w:pPr>
      <w:bookmarkStart w:id="40" w:name="_Toc486490855"/>
      <w:bookmarkStart w:id="41" w:name="_Toc486580926"/>
      <w:bookmarkStart w:id="42" w:name="_Toc20997202"/>
      <w:r w:rsidRPr="004B06E3">
        <w:t>Use Category</w:t>
      </w:r>
      <w:bookmarkEnd w:id="40"/>
      <w:bookmarkEnd w:id="41"/>
      <w:bookmarkEnd w:id="42"/>
    </w:p>
    <w:p w14:paraId="69458728" w14:textId="46BC4E62" w:rsidR="00132E1A" w:rsidRPr="004B06E3" w:rsidRDefault="00132E1A" w:rsidP="004B06E3">
      <w:r>
        <w:t>HVAC</w:t>
      </w:r>
    </w:p>
    <w:p w14:paraId="4B62D367" w14:textId="370A839E" w:rsidR="007D230B" w:rsidRPr="004B06E3" w:rsidRDefault="007D230B" w:rsidP="00462BB6">
      <w:pPr>
        <w:pStyle w:val="eTRMHeading3"/>
      </w:pPr>
      <w:bookmarkStart w:id="43" w:name="_Toc486490857"/>
      <w:bookmarkStart w:id="44" w:name="_Toc486580928"/>
      <w:bookmarkStart w:id="45" w:name="_Toc20997203"/>
      <w:r w:rsidRPr="004B06E3">
        <w:t>Electric Savings</w:t>
      </w:r>
      <w:r w:rsidR="00245AFF" w:rsidRPr="004B06E3">
        <w:t xml:space="preserve"> (</w:t>
      </w:r>
      <w:r w:rsidR="00E14349" w:rsidRPr="00E14349">
        <w:t>k</w:t>
      </w:r>
      <w:r w:rsidR="00245AFF" w:rsidRPr="004B06E3">
        <w:t>Wh)</w:t>
      </w:r>
      <w:bookmarkEnd w:id="43"/>
      <w:bookmarkEnd w:id="44"/>
      <w:bookmarkEnd w:id="45"/>
    </w:p>
    <w:p w14:paraId="687CE0AC" w14:textId="5FC5ABE6" w:rsidR="00D16CAF" w:rsidRDefault="00D16CAF" w:rsidP="00D16CAF">
      <w:r>
        <w:t>The electric</w:t>
      </w:r>
      <w:r w:rsidRPr="00370595">
        <w:t xml:space="preserve"> energy savings </w:t>
      </w:r>
      <w:r>
        <w:t xml:space="preserve">of a unitary air-cooled </w:t>
      </w:r>
      <w:r w:rsidR="008F2505">
        <w:t>air conditioners</w:t>
      </w:r>
      <w:r>
        <w:t xml:space="preserve"> and </w:t>
      </w:r>
      <w:r w:rsidR="008F2505">
        <w:t>heat pumps</w:t>
      </w:r>
      <w:r>
        <w:t xml:space="preserve"> &lt; 65 </w:t>
      </w:r>
      <w:proofErr w:type="spellStart"/>
      <w:r>
        <w:t>kBtuh</w:t>
      </w:r>
      <w:proofErr w:type="spellEnd"/>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316CC9">
        <w:t>DEER</w:t>
      </w:r>
      <w:bookmarkStart w:id="46" w:name="_Hlk502507659"/>
      <w:r w:rsidRPr="00316CC9">
        <w:t>20</w:t>
      </w:r>
      <w:r w:rsidR="00793766" w:rsidRPr="00316CC9">
        <w:t>20</w:t>
      </w:r>
      <w:bookmarkEnd w:id="46"/>
      <w:r w:rsidRPr="00006F8E">
        <w:t>. The results were reported in the Remote Ex-Ante Database Interface (READI) tool; the</w:t>
      </w:r>
      <w:r w:rsidRPr="00AB4637">
        <w:t xml:space="preserve"> results have not been modified.</w:t>
      </w:r>
      <w:r w:rsidRPr="006A2EE1">
        <w:rPr>
          <w:rFonts w:asciiTheme="minorHAnsi" w:hAnsiTheme="minorHAnsi"/>
          <w:szCs w:val="22"/>
        </w:rPr>
        <w:t xml:space="preserve"> </w:t>
      </w:r>
    </w:p>
    <w:p w14:paraId="2EAD9E1C" w14:textId="5FED1F2E" w:rsidR="00D16CAF" w:rsidRDefault="00D16CAF" w:rsidP="00D16CAF">
      <w:r w:rsidRPr="00F415D7">
        <w:t xml:space="preserve">Since DEER does not have measures for 18 SEER packaged heat pumps, those savings were taken directly from DEER using the lower savings values </w:t>
      </w:r>
      <w:r w:rsidR="003312F7" w:rsidRPr="00F415D7">
        <w:t>for</w:t>
      </w:r>
      <w:r w:rsidRPr="00F415D7">
        <w:t xml:space="preserve"> 17 SEER</w:t>
      </w:r>
      <w:r w:rsidR="003312F7" w:rsidRPr="00F415D7">
        <w:t xml:space="preserve"> equipment</w:t>
      </w:r>
      <w:r w:rsidRPr="00F415D7">
        <w:t>.</w:t>
      </w:r>
    </w:p>
    <w:p w14:paraId="6688D6BB" w14:textId="77777777" w:rsidR="008F2505" w:rsidRDefault="008F2505" w:rsidP="008F2505">
      <w:r>
        <w:t>Electric savings values vary by building type, building vintage, and climate zone. All DEER “Com” building types as well as the “existing” vintage (“Ex”, weighted DEER vintages) and all climate zones were used.</w:t>
      </w:r>
    </w:p>
    <w:p w14:paraId="2AA2B141" w14:textId="44AB8524" w:rsidR="008F2505" w:rsidRPr="00BA05B6" w:rsidRDefault="008F2505" w:rsidP="008F2505">
      <w:pPr>
        <w:rPr>
          <w:szCs w:val="22"/>
        </w:rPr>
      </w:pPr>
      <w:r>
        <w:rPr>
          <w:szCs w:val="22"/>
        </w:rPr>
        <w:t xml:space="preserve">The DEER Energy Impact IDs and the associated Measure Offering IDs and description are provided </w:t>
      </w:r>
      <w:r w:rsidR="00043B4D">
        <w:rPr>
          <w:szCs w:val="22"/>
        </w:rPr>
        <w:t xml:space="preserve">in </w:t>
      </w:r>
      <w:r w:rsidR="005E7066">
        <w:rPr>
          <w:szCs w:val="22"/>
        </w:rPr>
        <w:t>the table below</w:t>
      </w:r>
      <w:r>
        <w:rPr>
          <w:szCs w:val="22"/>
        </w:rPr>
        <w:t>.</w:t>
      </w:r>
    </w:p>
    <w:p w14:paraId="4648874E" w14:textId="7489AEA0" w:rsidR="00043B4D" w:rsidRDefault="00043B4D" w:rsidP="00043B4D">
      <w:pPr>
        <w:pStyle w:val="Caption"/>
      </w:pPr>
      <w:r w:rsidRPr="00D83CC1">
        <w:t>Measure Offering IDs and DEER Measure IDs</w:t>
      </w:r>
    </w:p>
    <w:tbl>
      <w:tblPr>
        <w:tblW w:w="97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3173"/>
        <w:gridCol w:w="5127"/>
      </w:tblGrid>
      <w:tr w:rsidR="007A0FA1" w14:paraId="4D972502" w14:textId="77777777" w:rsidTr="007A0FA1">
        <w:trPr>
          <w:trHeight w:val="300"/>
          <w:tblHeader/>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050ECC8B" w14:textId="77777777" w:rsidR="007A0FA1" w:rsidRDefault="007A0FA1">
            <w:pPr>
              <w:spacing w:before="0" w:after="0" w:line="240" w:lineRule="auto"/>
              <w:jc w:val="center"/>
              <w:rPr>
                <w:rFonts w:cs="Calibri Light"/>
                <w:b/>
                <w:bCs/>
                <w:color w:val="000000"/>
                <w:sz w:val="20"/>
                <w:szCs w:val="20"/>
              </w:rPr>
            </w:pPr>
            <w:r>
              <w:rPr>
                <w:rFonts w:cs="Calibri Light"/>
                <w:b/>
                <w:bCs/>
                <w:color w:val="000000"/>
                <w:sz w:val="20"/>
                <w:szCs w:val="20"/>
              </w:rPr>
              <w:t>Statewide Measure Offering ID</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23C9ABC4" w14:textId="77777777" w:rsidR="007A0FA1" w:rsidRDefault="007A0FA1">
            <w:pPr>
              <w:spacing w:before="0" w:after="0" w:line="240" w:lineRule="auto"/>
              <w:jc w:val="center"/>
              <w:rPr>
                <w:rFonts w:cs="Calibri Light"/>
                <w:b/>
                <w:bCs/>
                <w:color w:val="000000"/>
                <w:sz w:val="20"/>
                <w:szCs w:val="20"/>
              </w:rPr>
            </w:pPr>
            <w:r>
              <w:rPr>
                <w:rFonts w:cs="Calibri Light"/>
                <w:b/>
                <w:bCs/>
                <w:color w:val="000000"/>
                <w:sz w:val="20"/>
                <w:szCs w:val="20"/>
              </w:rPr>
              <w:t>DEER Energy Impact ID</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0ACF4BAF" w14:textId="77777777" w:rsidR="007A0FA1" w:rsidRDefault="007A0FA1">
            <w:pPr>
              <w:spacing w:before="0" w:after="0" w:line="240" w:lineRule="auto"/>
              <w:jc w:val="center"/>
              <w:rPr>
                <w:rFonts w:cs="Calibri Light"/>
                <w:b/>
                <w:bCs/>
                <w:color w:val="000000"/>
                <w:sz w:val="20"/>
                <w:szCs w:val="20"/>
              </w:rPr>
            </w:pPr>
            <w:r>
              <w:rPr>
                <w:rFonts w:cs="Calibri Light"/>
                <w:b/>
                <w:bCs/>
                <w:color w:val="000000"/>
                <w:sz w:val="20"/>
                <w:szCs w:val="20"/>
              </w:rPr>
              <w:t>Measure Offering Description</w:t>
            </w:r>
          </w:p>
        </w:tc>
      </w:tr>
      <w:tr w:rsidR="007A0FA1" w14:paraId="1C896BC7" w14:textId="77777777" w:rsidTr="007A0FA1">
        <w:trPr>
          <w:trHeight w:val="288"/>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738C8D" w14:textId="77777777" w:rsidR="007A0FA1" w:rsidRDefault="007A0FA1">
            <w:pPr>
              <w:spacing w:before="0" w:after="0" w:line="240" w:lineRule="auto"/>
              <w:rPr>
                <w:rFonts w:cs="Calibri Light"/>
                <w:sz w:val="20"/>
                <w:szCs w:val="20"/>
              </w:rPr>
            </w:pPr>
            <w:r>
              <w:t>SWHC014A</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DE3DA5B" w14:textId="77777777" w:rsidR="007A0FA1" w:rsidRDefault="007A0FA1">
            <w:pPr>
              <w:spacing w:before="0" w:after="0" w:line="240" w:lineRule="auto"/>
              <w:rPr>
                <w:rFonts w:cs="Calibri Light"/>
                <w:color w:val="000000"/>
                <w:szCs w:val="22"/>
              </w:rPr>
            </w:pPr>
            <w:r>
              <w:rPr>
                <w:rFonts w:cs="Calibri Light"/>
                <w:color w:val="000000"/>
                <w:szCs w:val="22"/>
              </w:rPr>
              <w:t>NE-HVAC-airAC-Pkg-lt55kBtuh-15p0seer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93CCCCC" w14:textId="77777777" w:rsidR="007A0FA1" w:rsidRDefault="007A0FA1">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15 </w:t>
            </w:r>
            <w:proofErr w:type="gramStart"/>
            <w:r>
              <w:t>SEER</w:t>
            </w:r>
            <w:proofErr w:type="gramEnd"/>
            <w:r>
              <w:t>, with No Economizer</w:t>
            </w:r>
          </w:p>
        </w:tc>
      </w:tr>
      <w:tr w:rsidR="007A0FA1" w14:paraId="45F2BE58"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EF87793" w14:textId="77777777" w:rsidR="007A0FA1" w:rsidRDefault="007A0FA1">
            <w:pPr>
              <w:spacing w:before="0" w:after="0" w:line="240" w:lineRule="auto"/>
              <w:rPr>
                <w:rFonts w:cs="Calibri Light"/>
                <w:sz w:val="20"/>
                <w:szCs w:val="20"/>
              </w:rPr>
            </w:pPr>
            <w:r>
              <w:t>SWHC014B</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D102AC6" w14:textId="77777777" w:rsidR="007A0FA1" w:rsidRDefault="007A0FA1">
            <w:pPr>
              <w:spacing w:before="0" w:after="0" w:line="240" w:lineRule="auto"/>
              <w:rPr>
                <w:rFonts w:cs="Calibri Light"/>
                <w:color w:val="000000"/>
                <w:szCs w:val="22"/>
              </w:rPr>
            </w:pPr>
            <w:r>
              <w:rPr>
                <w:rFonts w:cs="Calibri Light"/>
                <w:color w:val="000000"/>
                <w:szCs w:val="22"/>
              </w:rPr>
              <w:t>NE-HVAC-airAC-Pkg-lt55kBtuh-16p0seer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045EF1A" w14:textId="77777777" w:rsidR="007A0FA1" w:rsidRDefault="007A0FA1">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16 </w:t>
            </w:r>
            <w:proofErr w:type="gramStart"/>
            <w:r>
              <w:t>SEER</w:t>
            </w:r>
            <w:proofErr w:type="gramEnd"/>
            <w:r>
              <w:t>, with No Economizer</w:t>
            </w:r>
          </w:p>
        </w:tc>
      </w:tr>
      <w:tr w:rsidR="007A0FA1" w14:paraId="56941877"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C7D003A" w14:textId="77777777" w:rsidR="007A0FA1" w:rsidRDefault="007A0FA1">
            <w:pPr>
              <w:spacing w:before="0" w:after="0" w:line="240" w:lineRule="auto"/>
              <w:rPr>
                <w:rFonts w:cs="Calibri Light"/>
                <w:sz w:val="20"/>
                <w:szCs w:val="20"/>
              </w:rPr>
            </w:pPr>
            <w:r>
              <w:t>SWHC014C</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27E64C6" w14:textId="77777777" w:rsidR="007A0FA1" w:rsidRDefault="007A0FA1">
            <w:pPr>
              <w:spacing w:before="0" w:after="0" w:line="240" w:lineRule="auto"/>
              <w:rPr>
                <w:rFonts w:cs="Calibri Light"/>
                <w:color w:val="000000"/>
                <w:szCs w:val="22"/>
              </w:rPr>
            </w:pPr>
            <w:r>
              <w:rPr>
                <w:rFonts w:cs="Calibri Light"/>
                <w:color w:val="000000"/>
                <w:szCs w:val="22"/>
              </w:rPr>
              <w:t>NE-HVAC-airAC-Pkg-lt55kBtuh-17p0seer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5ECC025" w14:textId="77777777" w:rsidR="007A0FA1" w:rsidRDefault="007A0FA1">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17 </w:t>
            </w:r>
            <w:proofErr w:type="gramStart"/>
            <w:r>
              <w:t>SEER</w:t>
            </w:r>
            <w:proofErr w:type="gramEnd"/>
            <w:r>
              <w:t>, with No Economizer</w:t>
            </w:r>
          </w:p>
        </w:tc>
      </w:tr>
      <w:tr w:rsidR="007A0FA1" w14:paraId="09D6DA62"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A7B82F2" w14:textId="77777777" w:rsidR="007A0FA1" w:rsidRDefault="007A0FA1">
            <w:pPr>
              <w:spacing w:before="0" w:after="0" w:line="240" w:lineRule="auto"/>
              <w:rPr>
                <w:rFonts w:cs="Calibri Light"/>
                <w:sz w:val="20"/>
                <w:szCs w:val="20"/>
              </w:rPr>
            </w:pPr>
            <w:r>
              <w:t>SWHC014D</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F5B3F1A" w14:textId="77777777" w:rsidR="007A0FA1" w:rsidRDefault="007A0FA1">
            <w:pPr>
              <w:spacing w:before="0" w:after="0" w:line="240" w:lineRule="auto"/>
              <w:rPr>
                <w:rFonts w:cs="Calibri Light"/>
                <w:color w:val="000000"/>
                <w:szCs w:val="22"/>
              </w:rPr>
            </w:pPr>
            <w:r>
              <w:rPr>
                <w:rFonts w:cs="Calibri Light"/>
                <w:color w:val="000000"/>
                <w:szCs w:val="22"/>
              </w:rPr>
              <w:t>NE-HVAC-airAC-Pkg-lt55kBtuh-18p0seer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A90A356" w14:textId="77777777" w:rsidR="007A0FA1" w:rsidRDefault="007A0FA1">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18 </w:t>
            </w:r>
            <w:proofErr w:type="gramStart"/>
            <w:r>
              <w:t>SEER</w:t>
            </w:r>
            <w:proofErr w:type="gramEnd"/>
            <w:r>
              <w:t>, with No Economizer</w:t>
            </w:r>
          </w:p>
        </w:tc>
      </w:tr>
      <w:tr w:rsidR="007A0FA1" w14:paraId="48A57747"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284A7AA" w14:textId="77777777" w:rsidR="007A0FA1" w:rsidRDefault="007A0FA1">
            <w:pPr>
              <w:spacing w:before="0" w:after="0" w:line="240" w:lineRule="auto"/>
              <w:rPr>
                <w:rFonts w:cs="Calibri Light"/>
                <w:sz w:val="20"/>
                <w:szCs w:val="20"/>
              </w:rPr>
            </w:pPr>
            <w:r>
              <w:t>SWHC014E</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620D1DE" w14:textId="77777777" w:rsidR="007A0FA1" w:rsidRDefault="007A0FA1">
            <w:pPr>
              <w:spacing w:before="0" w:after="0" w:line="240" w:lineRule="auto"/>
              <w:rPr>
                <w:rFonts w:cs="Calibri Light"/>
                <w:color w:val="000000"/>
                <w:szCs w:val="22"/>
              </w:rPr>
            </w:pPr>
            <w:r>
              <w:rPr>
                <w:rFonts w:cs="Calibri Light"/>
                <w:color w:val="000000"/>
                <w:szCs w:val="22"/>
              </w:rPr>
              <w:t>NE-HVAC-airAC-Pkg-55to65kBtuh-15p0seer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41FF276" w14:textId="77777777" w:rsidR="007A0FA1" w:rsidRDefault="007A0FA1">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15 </w:t>
            </w:r>
            <w:proofErr w:type="gramStart"/>
            <w:r>
              <w:t>SEER</w:t>
            </w:r>
            <w:proofErr w:type="gramEnd"/>
            <w:r>
              <w:t>, with No Economizer</w:t>
            </w:r>
          </w:p>
        </w:tc>
      </w:tr>
      <w:tr w:rsidR="007A0FA1" w14:paraId="3E0118FA"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DDB38A" w14:textId="77777777" w:rsidR="007A0FA1" w:rsidRDefault="007A0FA1">
            <w:pPr>
              <w:spacing w:before="0" w:after="0" w:line="240" w:lineRule="auto"/>
              <w:rPr>
                <w:rFonts w:cs="Calibri Light"/>
                <w:sz w:val="20"/>
                <w:szCs w:val="20"/>
              </w:rPr>
            </w:pPr>
            <w:r>
              <w:t>SWHC014F</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A3D7951" w14:textId="77777777" w:rsidR="007A0FA1" w:rsidRDefault="007A0FA1">
            <w:pPr>
              <w:spacing w:before="0" w:after="0" w:line="240" w:lineRule="auto"/>
              <w:rPr>
                <w:rFonts w:cs="Calibri Light"/>
                <w:color w:val="000000"/>
                <w:szCs w:val="22"/>
              </w:rPr>
            </w:pPr>
            <w:r>
              <w:rPr>
                <w:rFonts w:cs="Calibri Light"/>
                <w:color w:val="000000"/>
                <w:szCs w:val="22"/>
              </w:rPr>
              <w:t>NE-HVAC-airAC-Pkg-55to65kBtuh-16p0seer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363FD81" w14:textId="77777777" w:rsidR="007A0FA1" w:rsidRDefault="007A0FA1">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16 </w:t>
            </w:r>
            <w:proofErr w:type="gramStart"/>
            <w:r>
              <w:t>SEER</w:t>
            </w:r>
            <w:proofErr w:type="gramEnd"/>
            <w:r>
              <w:t>, with No Economizer</w:t>
            </w:r>
          </w:p>
        </w:tc>
      </w:tr>
      <w:tr w:rsidR="007A0FA1" w14:paraId="50F061EC"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B2803DD" w14:textId="77777777" w:rsidR="007A0FA1" w:rsidRDefault="007A0FA1">
            <w:pPr>
              <w:spacing w:before="0" w:after="0" w:line="240" w:lineRule="auto"/>
              <w:rPr>
                <w:rFonts w:cs="Calibri Light"/>
                <w:sz w:val="20"/>
                <w:szCs w:val="20"/>
              </w:rPr>
            </w:pPr>
            <w:r>
              <w:t>SWHC014G</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9291558" w14:textId="77777777" w:rsidR="007A0FA1" w:rsidRDefault="007A0FA1">
            <w:pPr>
              <w:spacing w:before="0" w:after="0" w:line="240" w:lineRule="auto"/>
              <w:rPr>
                <w:rFonts w:cs="Calibri Light"/>
                <w:color w:val="000000"/>
                <w:szCs w:val="22"/>
              </w:rPr>
            </w:pPr>
            <w:r>
              <w:rPr>
                <w:rFonts w:cs="Calibri Light"/>
                <w:color w:val="000000"/>
                <w:szCs w:val="22"/>
              </w:rPr>
              <w:t>NE-HVAC-airAC-Pkg-55to65kBtuh-17p0seer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1824A591" w14:textId="77777777" w:rsidR="007A0FA1" w:rsidRDefault="007A0FA1">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17 </w:t>
            </w:r>
            <w:proofErr w:type="gramStart"/>
            <w:r>
              <w:t>SEER</w:t>
            </w:r>
            <w:proofErr w:type="gramEnd"/>
            <w:r>
              <w:t>, with No Economizer</w:t>
            </w:r>
          </w:p>
        </w:tc>
      </w:tr>
      <w:tr w:rsidR="007A0FA1" w14:paraId="0079CF32"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0E9880E" w14:textId="77777777" w:rsidR="007A0FA1" w:rsidRDefault="007A0FA1">
            <w:pPr>
              <w:spacing w:before="0" w:after="0" w:line="240" w:lineRule="auto"/>
              <w:rPr>
                <w:rFonts w:cs="Calibri Light"/>
                <w:sz w:val="20"/>
                <w:szCs w:val="20"/>
              </w:rPr>
            </w:pPr>
            <w:r>
              <w:t>SWHC014H</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A155B74" w14:textId="77777777" w:rsidR="007A0FA1" w:rsidRDefault="007A0FA1">
            <w:pPr>
              <w:spacing w:before="0" w:after="0" w:line="240" w:lineRule="auto"/>
              <w:rPr>
                <w:rFonts w:cs="Calibri Light"/>
                <w:color w:val="000000"/>
                <w:szCs w:val="22"/>
              </w:rPr>
            </w:pPr>
            <w:r>
              <w:rPr>
                <w:rFonts w:cs="Calibri Light"/>
                <w:color w:val="000000"/>
                <w:szCs w:val="22"/>
              </w:rPr>
              <w:t>NE-HVAC-airAC-Pkg-55to65kBtuh-18p0seer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06226DD" w14:textId="77777777" w:rsidR="007A0FA1" w:rsidRDefault="007A0FA1">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18 </w:t>
            </w:r>
            <w:proofErr w:type="gramStart"/>
            <w:r>
              <w:t>SEER</w:t>
            </w:r>
            <w:proofErr w:type="gramEnd"/>
            <w:r>
              <w:t>, with No Economizer</w:t>
            </w:r>
          </w:p>
        </w:tc>
      </w:tr>
      <w:tr w:rsidR="007A0FA1" w14:paraId="7A3386AE"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C0E5BA6" w14:textId="77777777" w:rsidR="007A0FA1" w:rsidRDefault="007A0FA1">
            <w:pPr>
              <w:spacing w:before="0" w:after="0" w:line="240" w:lineRule="auto"/>
              <w:rPr>
                <w:rFonts w:cs="Calibri Light"/>
                <w:sz w:val="20"/>
                <w:szCs w:val="20"/>
              </w:rPr>
            </w:pPr>
            <w:r>
              <w:t>SWHC014I</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DDEC8C6" w14:textId="77777777" w:rsidR="007A0FA1" w:rsidRDefault="007A0FA1">
            <w:pPr>
              <w:spacing w:before="0" w:after="0" w:line="240" w:lineRule="auto"/>
              <w:rPr>
                <w:rFonts w:cs="Calibri Light"/>
                <w:color w:val="000000"/>
                <w:szCs w:val="22"/>
              </w:rPr>
            </w:pPr>
            <w:r>
              <w:rPr>
                <w:rFonts w:cs="Calibri Light"/>
                <w:color w:val="000000"/>
                <w:szCs w:val="22"/>
              </w:rPr>
              <w:t>NE-HVAC-airAC-Split-lt45kBtuh-15p0seer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6C90E39" w14:textId="77777777" w:rsidR="007A0FA1" w:rsidRDefault="007A0FA1">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15 </w:t>
            </w:r>
            <w:proofErr w:type="gramStart"/>
            <w:r>
              <w:t>SEER</w:t>
            </w:r>
            <w:proofErr w:type="gramEnd"/>
            <w:r>
              <w:t>, with No Economizer</w:t>
            </w:r>
          </w:p>
        </w:tc>
      </w:tr>
      <w:tr w:rsidR="007A0FA1" w14:paraId="03F1F8C7"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5C2C995" w14:textId="77777777" w:rsidR="007A0FA1" w:rsidRDefault="007A0FA1">
            <w:pPr>
              <w:spacing w:before="0" w:after="0" w:line="240" w:lineRule="auto"/>
              <w:rPr>
                <w:rFonts w:cs="Calibri Light"/>
                <w:sz w:val="20"/>
                <w:szCs w:val="20"/>
              </w:rPr>
            </w:pPr>
            <w:r>
              <w:lastRenderedPageBreak/>
              <w:t>SWHC014J</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CBC2315" w14:textId="77777777" w:rsidR="007A0FA1" w:rsidRDefault="007A0FA1">
            <w:pPr>
              <w:spacing w:before="0" w:after="0" w:line="240" w:lineRule="auto"/>
              <w:rPr>
                <w:rFonts w:cs="Calibri Light"/>
                <w:color w:val="000000"/>
                <w:szCs w:val="22"/>
              </w:rPr>
            </w:pPr>
            <w:r>
              <w:rPr>
                <w:rFonts w:cs="Calibri Light"/>
                <w:color w:val="000000"/>
                <w:szCs w:val="22"/>
              </w:rPr>
              <w:t>NE-HVAC-airAC-Split-lt45kBtuh-16p0seer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189AC12F" w14:textId="77777777" w:rsidR="007A0FA1" w:rsidRDefault="007A0FA1">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16 </w:t>
            </w:r>
            <w:proofErr w:type="gramStart"/>
            <w:r>
              <w:t>SEER</w:t>
            </w:r>
            <w:proofErr w:type="gramEnd"/>
            <w:r>
              <w:t>, with No Economizer</w:t>
            </w:r>
          </w:p>
        </w:tc>
      </w:tr>
      <w:tr w:rsidR="007A0FA1" w14:paraId="31494197"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4E18F74" w14:textId="77777777" w:rsidR="007A0FA1" w:rsidRDefault="007A0FA1">
            <w:pPr>
              <w:spacing w:before="0" w:after="0" w:line="240" w:lineRule="auto"/>
              <w:rPr>
                <w:rFonts w:cs="Calibri Light"/>
                <w:sz w:val="20"/>
                <w:szCs w:val="20"/>
              </w:rPr>
            </w:pPr>
            <w:r>
              <w:t>SWHC014K</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C4958F1" w14:textId="77777777" w:rsidR="007A0FA1" w:rsidRDefault="007A0FA1">
            <w:pPr>
              <w:spacing w:before="0" w:after="0" w:line="240" w:lineRule="auto"/>
              <w:rPr>
                <w:rFonts w:cs="Calibri Light"/>
                <w:color w:val="000000"/>
                <w:szCs w:val="22"/>
              </w:rPr>
            </w:pPr>
            <w:r>
              <w:rPr>
                <w:rFonts w:cs="Calibri Light"/>
                <w:color w:val="000000"/>
                <w:szCs w:val="22"/>
              </w:rPr>
              <w:t>NE-HVAC-airAC-Split-lt45kBtuh-17p0seer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4E5DC81" w14:textId="77777777" w:rsidR="007A0FA1" w:rsidRDefault="007A0FA1">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17 </w:t>
            </w:r>
            <w:proofErr w:type="gramStart"/>
            <w:r>
              <w:t>SEER</w:t>
            </w:r>
            <w:proofErr w:type="gramEnd"/>
            <w:r>
              <w:t>, with No Economizer</w:t>
            </w:r>
          </w:p>
        </w:tc>
      </w:tr>
      <w:tr w:rsidR="007A0FA1" w14:paraId="4DEEC891"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661A17" w14:textId="77777777" w:rsidR="007A0FA1" w:rsidRDefault="007A0FA1">
            <w:pPr>
              <w:spacing w:before="0" w:after="0" w:line="240" w:lineRule="auto"/>
              <w:rPr>
                <w:rFonts w:cs="Calibri Light"/>
                <w:sz w:val="20"/>
                <w:szCs w:val="20"/>
              </w:rPr>
            </w:pPr>
            <w:r>
              <w:t>SWHC014L</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203D534" w14:textId="77777777" w:rsidR="007A0FA1" w:rsidRDefault="007A0FA1">
            <w:pPr>
              <w:spacing w:before="0" w:after="0" w:line="240" w:lineRule="auto"/>
              <w:rPr>
                <w:rFonts w:cs="Calibri Light"/>
                <w:color w:val="000000"/>
                <w:szCs w:val="22"/>
              </w:rPr>
            </w:pPr>
            <w:r>
              <w:rPr>
                <w:rFonts w:cs="Calibri Light"/>
                <w:color w:val="000000"/>
                <w:szCs w:val="22"/>
              </w:rPr>
              <w:t>NE-HVAC-airAC-Split-lt45kBtuh-18p0seer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816CE21" w14:textId="77777777" w:rsidR="007A0FA1" w:rsidRDefault="007A0FA1">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18 </w:t>
            </w:r>
            <w:proofErr w:type="gramStart"/>
            <w:r>
              <w:t>SEER</w:t>
            </w:r>
            <w:proofErr w:type="gramEnd"/>
            <w:r>
              <w:t>, with No Economizer</w:t>
            </w:r>
          </w:p>
        </w:tc>
      </w:tr>
      <w:tr w:rsidR="007A0FA1" w14:paraId="1F19D8CC"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C9147D4" w14:textId="77777777" w:rsidR="007A0FA1" w:rsidRDefault="007A0FA1">
            <w:pPr>
              <w:spacing w:before="0" w:after="0" w:line="240" w:lineRule="auto"/>
              <w:rPr>
                <w:rFonts w:cs="Calibri Light"/>
                <w:sz w:val="20"/>
                <w:szCs w:val="20"/>
              </w:rPr>
            </w:pPr>
            <w:r>
              <w:t>SWHC014M</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C7D7219" w14:textId="77777777" w:rsidR="007A0FA1" w:rsidRDefault="007A0FA1">
            <w:pPr>
              <w:spacing w:before="0" w:after="0" w:line="240" w:lineRule="auto"/>
              <w:rPr>
                <w:rFonts w:cs="Calibri Light"/>
                <w:color w:val="000000"/>
                <w:szCs w:val="22"/>
              </w:rPr>
            </w:pPr>
            <w:r>
              <w:rPr>
                <w:rFonts w:cs="Calibri Light"/>
                <w:color w:val="000000"/>
                <w:szCs w:val="22"/>
              </w:rPr>
              <w:t>NE-HVAC-airAC-Split-45to55kBtuh-15p0seer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38EFA02" w14:textId="77777777" w:rsidR="007A0FA1" w:rsidRDefault="007A0FA1">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15 </w:t>
            </w:r>
            <w:proofErr w:type="gramStart"/>
            <w:r>
              <w:t>SEER</w:t>
            </w:r>
            <w:proofErr w:type="gramEnd"/>
            <w:r>
              <w:t>, with No Economizer</w:t>
            </w:r>
          </w:p>
        </w:tc>
      </w:tr>
      <w:tr w:rsidR="007A0FA1" w14:paraId="6FC5DF9F"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9EDB2F" w14:textId="77777777" w:rsidR="007A0FA1" w:rsidRDefault="007A0FA1">
            <w:pPr>
              <w:spacing w:before="0" w:after="0" w:line="240" w:lineRule="auto"/>
              <w:rPr>
                <w:rFonts w:cs="Calibri Light"/>
                <w:sz w:val="20"/>
                <w:szCs w:val="20"/>
              </w:rPr>
            </w:pPr>
            <w:r>
              <w:t>SWHC014N</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124B6215" w14:textId="77777777" w:rsidR="007A0FA1" w:rsidRDefault="007A0FA1">
            <w:pPr>
              <w:spacing w:before="0" w:after="0" w:line="240" w:lineRule="auto"/>
              <w:rPr>
                <w:rFonts w:cs="Calibri Light"/>
                <w:color w:val="000000"/>
                <w:szCs w:val="22"/>
              </w:rPr>
            </w:pPr>
            <w:r>
              <w:rPr>
                <w:rFonts w:cs="Calibri Light"/>
                <w:color w:val="000000"/>
                <w:szCs w:val="22"/>
              </w:rPr>
              <w:t>NE-HVAC-airAC-Split-45to55kBtuh-16p0seer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0FE8875" w14:textId="77777777" w:rsidR="007A0FA1" w:rsidRDefault="007A0FA1">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16 </w:t>
            </w:r>
            <w:proofErr w:type="gramStart"/>
            <w:r>
              <w:t>SEER</w:t>
            </w:r>
            <w:proofErr w:type="gramEnd"/>
            <w:r>
              <w:t>, with No Economizer</w:t>
            </w:r>
          </w:p>
        </w:tc>
      </w:tr>
      <w:tr w:rsidR="007A0FA1" w14:paraId="78398F6D"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520BEFD" w14:textId="77777777" w:rsidR="007A0FA1" w:rsidRDefault="007A0FA1">
            <w:pPr>
              <w:spacing w:before="0" w:after="0" w:line="240" w:lineRule="auto"/>
              <w:rPr>
                <w:rFonts w:cs="Calibri Light"/>
                <w:sz w:val="20"/>
                <w:szCs w:val="20"/>
              </w:rPr>
            </w:pPr>
            <w:r>
              <w:t>SWHC014O</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44BBCDD" w14:textId="77777777" w:rsidR="007A0FA1" w:rsidRDefault="007A0FA1">
            <w:pPr>
              <w:spacing w:before="0" w:after="0" w:line="240" w:lineRule="auto"/>
              <w:rPr>
                <w:rFonts w:cs="Calibri Light"/>
                <w:color w:val="000000"/>
                <w:szCs w:val="22"/>
              </w:rPr>
            </w:pPr>
            <w:r>
              <w:rPr>
                <w:rFonts w:cs="Calibri Light"/>
                <w:color w:val="000000"/>
                <w:szCs w:val="22"/>
              </w:rPr>
              <w:t>NE-HVAC-airAC-Split-45to55kBtuh-17p0seer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89932AB" w14:textId="77777777" w:rsidR="007A0FA1" w:rsidRDefault="007A0FA1">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17 </w:t>
            </w:r>
            <w:proofErr w:type="gramStart"/>
            <w:r>
              <w:t>SEER</w:t>
            </w:r>
            <w:proofErr w:type="gramEnd"/>
            <w:r>
              <w:t>, with No Economizer</w:t>
            </w:r>
          </w:p>
        </w:tc>
      </w:tr>
      <w:tr w:rsidR="007A0FA1" w14:paraId="69F4A16D" w14:textId="77777777" w:rsidTr="007A0FA1">
        <w:trPr>
          <w:trHeight w:val="485"/>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3404979" w14:textId="77777777" w:rsidR="007A0FA1" w:rsidRDefault="007A0FA1">
            <w:pPr>
              <w:spacing w:before="0" w:after="0" w:line="240" w:lineRule="auto"/>
              <w:rPr>
                <w:rFonts w:cs="Calibri Light"/>
                <w:sz w:val="20"/>
                <w:szCs w:val="20"/>
              </w:rPr>
            </w:pPr>
            <w:r>
              <w:t>SWHC014P</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44F90FB" w14:textId="77777777" w:rsidR="007A0FA1" w:rsidRDefault="007A0FA1">
            <w:pPr>
              <w:spacing w:before="0" w:after="0" w:line="240" w:lineRule="auto"/>
              <w:rPr>
                <w:rFonts w:cs="Calibri Light"/>
                <w:color w:val="000000"/>
                <w:szCs w:val="22"/>
              </w:rPr>
            </w:pPr>
            <w:r>
              <w:rPr>
                <w:rFonts w:cs="Calibri Light"/>
                <w:color w:val="000000"/>
                <w:szCs w:val="22"/>
              </w:rPr>
              <w:t>NE-HVAC-airAC-Split-45to55kBtuh-18p0seer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B79C7D8" w14:textId="77777777" w:rsidR="007A0FA1" w:rsidRDefault="007A0FA1">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18 </w:t>
            </w:r>
            <w:proofErr w:type="gramStart"/>
            <w:r>
              <w:t>SEER</w:t>
            </w:r>
            <w:proofErr w:type="gramEnd"/>
            <w:r>
              <w:t>, with No Economizer</w:t>
            </w:r>
          </w:p>
        </w:tc>
      </w:tr>
      <w:tr w:rsidR="007A0FA1" w14:paraId="63BA7D87" w14:textId="77777777" w:rsidTr="007A0FA1">
        <w:trPr>
          <w:trHeight w:val="665"/>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8E1CB61" w14:textId="77777777" w:rsidR="007A0FA1" w:rsidRDefault="007A0FA1">
            <w:pPr>
              <w:spacing w:before="0" w:after="0" w:line="240" w:lineRule="auto"/>
            </w:pPr>
            <w:r>
              <w:t>SWHC014Q</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94440F3" w14:textId="77777777" w:rsidR="007A0FA1" w:rsidRDefault="007A0FA1">
            <w:r>
              <w:rPr>
                <w:rFonts w:eastAsia="Calibri Light" w:cs="Calibri Light"/>
                <w:szCs w:val="22"/>
              </w:rPr>
              <w:t>NE-HVAC-airAC-Split-55to65kBtuh-15p0seer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A7C75A9" w14:textId="77777777" w:rsidR="007A0FA1" w:rsidRDefault="007A0FA1">
            <w:pPr>
              <w:spacing w:before="0" w:after="0" w:line="240" w:lineRule="auto"/>
            </w:pPr>
            <w:r>
              <w:t xml:space="preserve">Unitary Air-Cooled, Commercial, Split AC, 55 - 65 </w:t>
            </w:r>
            <w:proofErr w:type="spellStart"/>
            <w:r>
              <w:t>kBTU</w:t>
            </w:r>
            <w:proofErr w:type="spellEnd"/>
            <w:r>
              <w:t xml:space="preserve">/h, 15 </w:t>
            </w:r>
            <w:proofErr w:type="gramStart"/>
            <w:r>
              <w:t>SEER</w:t>
            </w:r>
            <w:proofErr w:type="gramEnd"/>
            <w:r>
              <w:t>, with No Economizer</w:t>
            </w:r>
          </w:p>
        </w:tc>
      </w:tr>
      <w:tr w:rsidR="007A0FA1" w14:paraId="58F3DBD5"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46E9989" w14:textId="77777777" w:rsidR="007A0FA1" w:rsidRDefault="007A0FA1">
            <w:pPr>
              <w:spacing w:before="0" w:after="0" w:line="240" w:lineRule="auto"/>
              <w:rPr>
                <w:rFonts w:cs="Calibri Light"/>
                <w:sz w:val="20"/>
                <w:szCs w:val="20"/>
              </w:rPr>
            </w:pPr>
            <w:r>
              <w:t>SWHC014R</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204C90E" w14:textId="77777777" w:rsidR="007A0FA1" w:rsidRDefault="007A0FA1">
            <w:r>
              <w:rPr>
                <w:rFonts w:eastAsia="Calibri Light" w:cs="Calibri Light"/>
                <w:szCs w:val="22"/>
              </w:rPr>
              <w:t>NE-HVAC-airAC-Split-55to65kBtuh-16p0seer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CA1DEFA" w14:textId="77777777" w:rsidR="007A0FA1" w:rsidRDefault="007A0FA1">
            <w:pPr>
              <w:spacing w:before="0" w:after="0" w:line="240" w:lineRule="auto"/>
              <w:rPr>
                <w:rFonts w:cs="Calibri Light"/>
                <w:color w:val="000000"/>
                <w:sz w:val="20"/>
                <w:szCs w:val="20"/>
              </w:rPr>
            </w:pPr>
            <w:r>
              <w:t xml:space="preserve">Unitary Air-Cooled, Commercial, Split AC, 55 - 65 </w:t>
            </w:r>
            <w:proofErr w:type="spellStart"/>
            <w:r>
              <w:t>kBTU</w:t>
            </w:r>
            <w:proofErr w:type="spellEnd"/>
            <w:r>
              <w:t xml:space="preserve">/h, 16 </w:t>
            </w:r>
            <w:proofErr w:type="gramStart"/>
            <w:r>
              <w:t>SEER</w:t>
            </w:r>
            <w:proofErr w:type="gramEnd"/>
            <w:r>
              <w:t>, with No Economizer</w:t>
            </w:r>
          </w:p>
        </w:tc>
      </w:tr>
      <w:tr w:rsidR="007A0FA1" w14:paraId="24717F92"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E45715E" w14:textId="77777777" w:rsidR="007A0FA1" w:rsidRDefault="007A0FA1">
            <w:pPr>
              <w:spacing w:before="0" w:after="0" w:line="240" w:lineRule="auto"/>
              <w:rPr>
                <w:rFonts w:cs="Calibri Light"/>
                <w:sz w:val="20"/>
                <w:szCs w:val="20"/>
              </w:rPr>
            </w:pPr>
            <w:r>
              <w:t>SWHC014S</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91AE7B5" w14:textId="77777777" w:rsidR="007A0FA1" w:rsidRDefault="007A0FA1">
            <w:r>
              <w:rPr>
                <w:rFonts w:eastAsia="Calibri Light" w:cs="Calibri Light"/>
                <w:szCs w:val="22"/>
              </w:rPr>
              <w:t>NE-HVAC-airAC-Split-55to65kBtuh-17p0seer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837EC4F" w14:textId="77777777" w:rsidR="007A0FA1" w:rsidRDefault="007A0FA1">
            <w:pPr>
              <w:spacing w:before="0" w:after="0" w:line="240" w:lineRule="auto"/>
              <w:rPr>
                <w:rFonts w:cs="Calibri Light"/>
                <w:color w:val="000000"/>
                <w:sz w:val="20"/>
                <w:szCs w:val="20"/>
              </w:rPr>
            </w:pPr>
            <w:r>
              <w:t xml:space="preserve">Unitary Air-Cooled, Commercial, Split AC, 55 - 65 </w:t>
            </w:r>
            <w:proofErr w:type="spellStart"/>
            <w:r>
              <w:t>kBTU</w:t>
            </w:r>
            <w:proofErr w:type="spellEnd"/>
            <w:r>
              <w:t xml:space="preserve">/h, 17 </w:t>
            </w:r>
            <w:proofErr w:type="gramStart"/>
            <w:r>
              <w:t>SEER</w:t>
            </w:r>
            <w:proofErr w:type="gramEnd"/>
            <w:r>
              <w:t>, with No Economizer</w:t>
            </w:r>
          </w:p>
        </w:tc>
      </w:tr>
      <w:tr w:rsidR="007A0FA1" w14:paraId="5D6F2116"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137DAF5" w14:textId="77777777" w:rsidR="007A0FA1" w:rsidRDefault="007A0FA1">
            <w:pPr>
              <w:spacing w:before="0" w:after="0" w:line="240" w:lineRule="auto"/>
              <w:rPr>
                <w:rFonts w:cs="Calibri Light"/>
                <w:sz w:val="20"/>
                <w:szCs w:val="20"/>
              </w:rPr>
            </w:pPr>
            <w:r>
              <w:t>SWHC014T</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6D7B774" w14:textId="77777777" w:rsidR="007A0FA1" w:rsidRDefault="007A0FA1">
            <w:r>
              <w:rPr>
                <w:rFonts w:eastAsia="Calibri Light" w:cs="Calibri Light"/>
                <w:szCs w:val="22"/>
              </w:rPr>
              <w:t>NE-HVAC-airAC-Split-55to65kBtuh-18p0seer</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CA5BDCC" w14:textId="77777777" w:rsidR="007A0FA1" w:rsidRDefault="007A0FA1">
            <w:pPr>
              <w:spacing w:before="0" w:after="0" w:line="240" w:lineRule="auto"/>
              <w:rPr>
                <w:rFonts w:cs="Calibri Light"/>
                <w:color w:val="000000"/>
                <w:sz w:val="20"/>
                <w:szCs w:val="20"/>
              </w:rPr>
            </w:pPr>
            <w:r>
              <w:t xml:space="preserve">Unitary Air-Cooled, Commercial, Split AC, 55 - 65 </w:t>
            </w:r>
            <w:proofErr w:type="spellStart"/>
            <w:r>
              <w:t>kBTU</w:t>
            </w:r>
            <w:proofErr w:type="spellEnd"/>
            <w:r>
              <w:t xml:space="preserve">/h, 18 </w:t>
            </w:r>
            <w:proofErr w:type="gramStart"/>
            <w:r>
              <w:t>SEER</w:t>
            </w:r>
            <w:proofErr w:type="gramEnd"/>
            <w:r>
              <w:t>, with No Economizer</w:t>
            </w:r>
          </w:p>
        </w:tc>
      </w:tr>
      <w:tr w:rsidR="007A0FA1" w14:paraId="2B1A77DD"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B552B00" w14:textId="77777777" w:rsidR="007A0FA1" w:rsidRDefault="007A0FA1">
            <w:pPr>
              <w:spacing w:before="0" w:after="0" w:line="240" w:lineRule="auto"/>
              <w:rPr>
                <w:rFonts w:cs="Calibri Light"/>
                <w:sz w:val="20"/>
                <w:szCs w:val="20"/>
              </w:rPr>
            </w:pPr>
            <w:r>
              <w:t>SWHC014U</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D5F68F4" w14:textId="77777777" w:rsidR="007A0FA1" w:rsidRDefault="007A0FA1">
            <w:pPr>
              <w:spacing w:before="0" w:after="0" w:line="240" w:lineRule="auto"/>
              <w:rPr>
                <w:rFonts w:cs="Calibri Light"/>
                <w:color w:val="000000"/>
                <w:szCs w:val="22"/>
              </w:rPr>
            </w:pPr>
            <w:r>
              <w:rPr>
                <w:rFonts w:cs="Calibri Light"/>
                <w:color w:val="000000"/>
                <w:szCs w:val="22"/>
              </w:rPr>
              <w:t>NE-HVAC-airHP-Pkg-lt55kBtuh-15p0seer-8p2hspf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04A3D32" w14:textId="77777777" w:rsidR="007A0FA1" w:rsidRDefault="007A0FA1">
            <w:pPr>
              <w:spacing w:before="0" w:after="0" w:line="240" w:lineRule="auto"/>
              <w:rPr>
                <w:rFonts w:cs="Calibri Light"/>
                <w:color w:val="000000"/>
                <w:sz w:val="20"/>
                <w:szCs w:val="20"/>
              </w:rPr>
            </w:pPr>
            <w:r>
              <w:t xml:space="preserve">Unitary Air-Cooled, Commercial, Packaged HP, &lt; 55 </w:t>
            </w:r>
            <w:proofErr w:type="spellStart"/>
            <w:r>
              <w:t>kBTU</w:t>
            </w:r>
            <w:proofErr w:type="spellEnd"/>
            <w:r>
              <w:t xml:space="preserve">/h, 15 </w:t>
            </w:r>
            <w:proofErr w:type="gramStart"/>
            <w:r>
              <w:t>SEER</w:t>
            </w:r>
            <w:proofErr w:type="gramEnd"/>
            <w:r>
              <w:t>, with No Economizer</w:t>
            </w:r>
          </w:p>
        </w:tc>
      </w:tr>
      <w:tr w:rsidR="007A0FA1" w14:paraId="0AD864A6"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17524D0" w14:textId="77777777" w:rsidR="007A0FA1" w:rsidRDefault="007A0FA1">
            <w:pPr>
              <w:spacing w:before="0" w:after="0" w:line="240" w:lineRule="auto"/>
              <w:rPr>
                <w:rFonts w:cs="Calibri Light"/>
                <w:sz w:val="20"/>
                <w:szCs w:val="20"/>
              </w:rPr>
            </w:pPr>
            <w:r>
              <w:t>SWHC014V</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6121CFF" w14:textId="77777777" w:rsidR="007A0FA1" w:rsidRDefault="007A0FA1">
            <w:pPr>
              <w:spacing w:before="0" w:after="0" w:line="240" w:lineRule="auto"/>
              <w:rPr>
                <w:rFonts w:cs="Calibri Light"/>
                <w:color w:val="000000"/>
                <w:szCs w:val="22"/>
              </w:rPr>
            </w:pPr>
            <w:r>
              <w:rPr>
                <w:rFonts w:cs="Calibri Light"/>
                <w:color w:val="000000"/>
                <w:szCs w:val="22"/>
              </w:rPr>
              <w:t>NE-HVAC-airHP-Pkg-lt55kBtuh-16p0seer-8p5hspf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FEF4FE2" w14:textId="77777777" w:rsidR="007A0FA1" w:rsidRDefault="007A0FA1">
            <w:pPr>
              <w:spacing w:before="0" w:after="0" w:line="240" w:lineRule="auto"/>
              <w:rPr>
                <w:rFonts w:cs="Calibri Light"/>
                <w:color w:val="000000"/>
                <w:sz w:val="20"/>
                <w:szCs w:val="20"/>
              </w:rPr>
            </w:pPr>
            <w:r>
              <w:t xml:space="preserve">Unitary Air-Cooled, Commercial, Packaged HP, &lt; 55 </w:t>
            </w:r>
            <w:proofErr w:type="spellStart"/>
            <w:r>
              <w:t>kBTU</w:t>
            </w:r>
            <w:proofErr w:type="spellEnd"/>
            <w:r>
              <w:t xml:space="preserve">/h, 16 </w:t>
            </w:r>
            <w:proofErr w:type="gramStart"/>
            <w:r>
              <w:t>SEER</w:t>
            </w:r>
            <w:proofErr w:type="gramEnd"/>
            <w:r>
              <w:t>, with No Economizer</w:t>
            </w:r>
          </w:p>
        </w:tc>
      </w:tr>
      <w:tr w:rsidR="007A0FA1" w14:paraId="4FE3E975"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A99FC16" w14:textId="77777777" w:rsidR="007A0FA1" w:rsidRDefault="007A0FA1">
            <w:pPr>
              <w:spacing w:before="0" w:after="0" w:line="240" w:lineRule="auto"/>
              <w:rPr>
                <w:rFonts w:cs="Calibri Light"/>
                <w:sz w:val="20"/>
                <w:szCs w:val="20"/>
              </w:rPr>
            </w:pPr>
            <w:r>
              <w:t>SWHC014W</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068B247" w14:textId="77777777" w:rsidR="007A0FA1" w:rsidRDefault="007A0FA1">
            <w:pPr>
              <w:spacing w:before="0" w:after="0" w:line="240" w:lineRule="auto"/>
              <w:rPr>
                <w:rFonts w:cs="Calibri Light"/>
                <w:color w:val="000000"/>
                <w:szCs w:val="22"/>
              </w:rPr>
            </w:pPr>
            <w:r>
              <w:rPr>
                <w:rFonts w:cs="Calibri Light"/>
                <w:color w:val="000000"/>
                <w:szCs w:val="22"/>
              </w:rPr>
              <w:t>NE-HVAC-airHP-Pkg-lt55kBtuh-17p0seer-9p0hspf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B8C4945" w14:textId="77777777" w:rsidR="007A0FA1" w:rsidRDefault="007A0FA1">
            <w:pPr>
              <w:spacing w:before="0" w:after="0" w:line="240" w:lineRule="auto"/>
              <w:rPr>
                <w:rFonts w:cs="Calibri Light"/>
                <w:color w:val="000000"/>
                <w:sz w:val="20"/>
                <w:szCs w:val="20"/>
              </w:rPr>
            </w:pPr>
            <w:r>
              <w:t xml:space="preserve">Unitary Air-Cooled, Commercial, Packaged HP, &lt; 55 </w:t>
            </w:r>
            <w:proofErr w:type="spellStart"/>
            <w:r>
              <w:t>kBTU</w:t>
            </w:r>
            <w:proofErr w:type="spellEnd"/>
            <w:r>
              <w:t xml:space="preserve">/h, 17 </w:t>
            </w:r>
            <w:proofErr w:type="gramStart"/>
            <w:r>
              <w:t>SEER</w:t>
            </w:r>
            <w:proofErr w:type="gramEnd"/>
            <w:r>
              <w:t>, with No Economizer</w:t>
            </w:r>
          </w:p>
        </w:tc>
      </w:tr>
      <w:tr w:rsidR="007A0FA1" w14:paraId="3C0106EB"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7FFE0D" w14:textId="77777777" w:rsidR="007A0FA1" w:rsidRDefault="007A0FA1">
            <w:pPr>
              <w:spacing w:before="0" w:after="0" w:line="240" w:lineRule="auto"/>
              <w:rPr>
                <w:rFonts w:cs="Calibri Light"/>
                <w:sz w:val="20"/>
                <w:szCs w:val="20"/>
              </w:rPr>
            </w:pPr>
            <w:r>
              <w:t>SWHC014X</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A421CAD" w14:textId="77777777" w:rsidR="007A0FA1" w:rsidRDefault="007A0FA1">
            <w:pPr>
              <w:spacing w:before="0" w:after="0" w:line="240" w:lineRule="auto"/>
              <w:rPr>
                <w:rFonts w:cs="Calibri Light"/>
                <w:color w:val="000000"/>
              </w:rPr>
            </w:pPr>
            <w:r>
              <w:rPr>
                <w:rFonts w:cs="Calibri Light"/>
                <w:color w:val="000000"/>
              </w:rPr>
              <w:t>NE-HVAC-airHP-Pkg-lt55kBtuh-17p0seer-9p0hspf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552FEAC" w14:textId="77777777" w:rsidR="007A0FA1" w:rsidRDefault="007A0FA1">
            <w:pPr>
              <w:spacing w:before="0" w:after="0" w:line="240" w:lineRule="auto"/>
            </w:pPr>
            <w:r>
              <w:t xml:space="preserve">Unitary Air-Cooled, Commercial, Packaged HP, &lt; 55 </w:t>
            </w:r>
            <w:proofErr w:type="spellStart"/>
            <w:r>
              <w:t>kBTU</w:t>
            </w:r>
            <w:proofErr w:type="spellEnd"/>
            <w:r>
              <w:t xml:space="preserve">/h, 18 </w:t>
            </w:r>
            <w:proofErr w:type="gramStart"/>
            <w:r>
              <w:t>SEER</w:t>
            </w:r>
            <w:proofErr w:type="gramEnd"/>
            <w:r>
              <w:t>, with No Economizer</w:t>
            </w:r>
          </w:p>
        </w:tc>
      </w:tr>
      <w:tr w:rsidR="007A0FA1" w14:paraId="78E9B30B"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733792" w14:textId="77777777" w:rsidR="007A0FA1" w:rsidRDefault="007A0FA1">
            <w:pPr>
              <w:spacing w:before="0" w:after="0" w:line="240" w:lineRule="auto"/>
              <w:rPr>
                <w:rFonts w:cs="Calibri Light"/>
                <w:sz w:val="20"/>
                <w:szCs w:val="20"/>
              </w:rPr>
            </w:pPr>
            <w:r>
              <w:t>SWHC014Y</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527997A" w14:textId="77777777" w:rsidR="007A0FA1" w:rsidRDefault="007A0FA1">
            <w:pPr>
              <w:spacing w:before="0" w:after="0" w:line="240" w:lineRule="auto"/>
              <w:rPr>
                <w:rFonts w:cs="Calibri Light"/>
                <w:color w:val="000000"/>
                <w:szCs w:val="22"/>
              </w:rPr>
            </w:pPr>
            <w:r>
              <w:rPr>
                <w:rFonts w:cs="Calibri Light"/>
                <w:color w:val="000000"/>
                <w:szCs w:val="22"/>
              </w:rPr>
              <w:t>NE-HVAC-airHP-Pkg-55to65kBtuh-15p0seer-8p2hspf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B37DB6E" w14:textId="77777777" w:rsidR="007A0FA1" w:rsidRDefault="007A0FA1">
            <w:pPr>
              <w:spacing w:before="0" w:after="0" w:line="240" w:lineRule="auto"/>
              <w:rPr>
                <w:rFonts w:cs="Calibri Light"/>
                <w:color w:val="000000"/>
                <w:sz w:val="20"/>
                <w:szCs w:val="20"/>
              </w:rPr>
            </w:pPr>
            <w:r>
              <w:t xml:space="preserve">Unitary Air-Cooled, Commercial, Packaged HP, 55 - 65 </w:t>
            </w:r>
            <w:proofErr w:type="spellStart"/>
            <w:r>
              <w:t>kBTU</w:t>
            </w:r>
            <w:proofErr w:type="spellEnd"/>
            <w:r>
              <w:t xml:space="preserve">/h, 15 </w:t>
            </w:r>
            <w:proofErr w:type="gramStart"/>
            <w:r>
              <w:t>SEER</w:t>
            </w:r>
            <w:proofErr w:type="gramEnd"/>
            <w:r>
              <w:t>, with No Economizer</w:t>
            </w:r>
          </w:p>
        </w:tc>
      </w:tr>
      <w:tr w:rsidR="007A0FA1" w14:paraId="55D4CBD4"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886B405" w14:textId="77777777" w:rsidR="007A0FA1" w:rsidRDefault="007A0FA1">
            <w:pPr>
              <w:spacing w:before="0" w:after="0" w:line="240" w:lineRule="auto"/>
              <w:rPr>
                <w:rFonts w:cs="Calibri Light"/>
                <w:sz w:val="20"/>
                <w:szCs w:val="20"/>
              </w:rPr>
            </w:pPr>
            <w:r>
              <w:t>SWHC014Z</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22B4E395" w14:textId="77777777" w:rsidR="007A0FA1" w:rsidRDefault="007A0FA1">
            <w:pPr>
              <w:spacing w:before="0" w:after="0" w:line="240" w:lineRule="auto"/>
              <w:rPr>
                <w:rFonts w:cs="Calibri Light"/>
                <w:color w:val="000000"/>
                <w:szCs w:val="22"/>
              </w:rPr>
            </w:pPr>
            <w:r>
              <w:rPr>
                <w:rFonts w:cs="Calibri Light"/>
                <w:color w:val="000000"/>
                <w:szCs w:val="22"/>
              </w:rPr>
              <w:t>NE-HVAC-airHP-Pkg-55to65kBtuh-16p0seer-8p5hspf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108B94B6" w14:textId="77777777" w:rsidR="007A0FA1" w:rsidRDefault="007A0FA1">
            <w:pPr>
              <w:spacing w:before="0" w:after="0" w:line="240" w:lineRule="auto"/>
              <w:rPr>
                <w:rFonts w:cs="Calibri Light"/>
                <w:color w:val="000000"/>
                <w:sz w:val="20"/>
                <w:szCs w:val="20"/>
              </w:rPr>
            </w:pPr>
            <w:r>
              <w:t xml:space="preserve">Unitary Air-Cooled, Commercial, Packaged HP, 55 - 65 </w:t>
            </w:r>
            <w:proofErr w:type="spellStart"/>
            <w:r>
              <w:t>kBTU</w:t>
            </w:r>
            <w:proofErr w:type="spellEnd"/>
            <w:r>
              <w:t xml:space="preserve">/h, 16 </w:t>
            </w:r>
            <w:proofErr w:type="gramStart"/>
            <w:r>
              <w:t>SEER</w:t>
            </w:r>
            <w:proofErr w:type="gramEnd"/>
            <w:r>
              <w:t>, with No Economizer</w:t>
            </w:r>
          </w:p>
        </w:tc>
      </w:tr>
      <w:tr w:rsidR="007A0FA1" w14:paraId="75AB17E6"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F9C6951" w14:textId="77777777" w:rsidR="007A0FA1" w:rsidRDefault="007A0FA1">
            <w:pPr>
              <w:spacing w:before="0" w:after="0" w:line="240" w:lineRule="auto"/>
              <w:rPr>
                <w:rFonts w:cs="Calibri Light"/>
                <w:sz w:val="20"/>
                <w:szCs w:val="20"/>
              </w:rPr>
            </w:pPr>
            <w:r>
              <w:t>SWHC014AA</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E813872" w14:textId="77777777" w:rsidR="007A0FA1" w:rsidRDefault="007A0FA1">
            <w:pPr>
              <w:spacing w:before="0" w:after="0" w:line="240" w:lineRule="auto"/>
              <w:rPr>
                <w:rFonts w:cs="Calibri Light"/>
                <w:color w:val="000000"/>
                <w:szCs w:val="22"/>
              </w:rPr>
            </w:pPr>
            <w:r>
              <w:rPr>
                <w:rFonts w:cs="Calibri Light"/>
                <w:color w:val="000000"/>
                <w:szCs w:val="22"/>
              </w:rPr>
              <w:t>NE-HVAC-airHP-Pkg-55to65kBtuh-17p0seer-9p0hspf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E5F3619" w14:textId="77777777" w:rsidR="007A0FA1" w:rsidRDefault="007A0FA1">
            <w:pPr>
              <w:spacing w:before="0" w:after="0" w:line="240" w:lineRule="auto"/>
              <w:rPr>
                <w:rFonts w:cs="Calibri Light"/>
                <w:color w:val="000000"/>
                <w:sz w:val="20"/>
                <w:szCs w:val="20"/>
              </w:rPr>
            </w:pPr>
            <w:r>
              <w:t xml:space="preserve">Unitary Air-Cooled, Commercial, Packaged HP, 55 - 65 </w:t>
            </w:r>
            <w:proofErr w:type="spellStart"/>
            <w:r>
              <w:t>kBTU</w:t>
            </w:r>
            <w:proofErr w:type="spellEnd"/>
            <w:r>
              <w:t xml:space="preserve">/h, 17 </w:t>
            </w:r>
            <w:proofErr w:type="gramStart"/>
            <w:r>
              <w:t>SEER</w:t>
            </w:r>
            <w:proofErr w:type="gramEnd"/>
            <w:r>
              <w:t>, with No Economizer</w:t>
            </w:r>
          </w:p>
        </w:tc>
      </w:tr>
      <w:tr w:rsidR="007A0FA1" w14:paraId="4F98CE9B"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FC0C2F3" w14:textId="77777777" w:rsidR="007A0FA1" w:rsidRDefault="007A0FA1">
            <w:pPr>
              <w:spacing w:before="0" w:after="0" w:line="240" w:lineRule="auto"/>
              <w:rPr>
                <w:rFonts w:cs="Calibri Light"/>
                <w:sz w:val="20"/>
                <w:szCs w:val="20"/>
              </w:rPr>
            </w:pPr>
            <w:r>
              <w:t>SWHC014AB</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103A96F" w14:textId="77777777" w:rsidR="007A0FA1" w:rsidRDefault="007A0FA1">
            <w:pPr>
              <w:spacing w:before="0" w:after="0" w:line="240" w:lineRule="auto"/>
              <w:rPr>
                <w:rFonts w:cs="Calibri Light"/>
                <w:color w:val="000000"/>
              </w:rPr>
            </w:pPr>
            <w:r>
              <w:rPr>
                <w:rFonts w:cs="Calibri Light"/>
                <w:color w:val="000000"/>
              </w:rPr>
              <w:t>NE-HVAC-airHP-Pkg-55to65kBtuh-17p0seer-9p0hspf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487FA43" w14:textId="77777777" w:rsidR="007A0FA1" w:rsidRDefault="007A0FA1">
            <w:pPr>
              <w:spacing w:before="0" w:after="0" w:line="240" w:lineRule="auto"/>
            </w:pPr>
            <w:r>
              <w:t xml:space="preserve">Unitary Air-Cooled, Commercial, Packaged HP, 55 - 65 </w:t>
            </w:r>
            <w:proofErr w:type="spellStart"/>
            <w:r>
              <w:t>kBTU</w:t>
            </w:r>
            <w:proofErr w:type="spellEnd"/>
            <w:r>
              <w:t xml:space="preserve">/h, 18 </w:t>
            </w:r>
            <w:proofErr w:type="gramStart"/>
            <w:r>
              <w:t>SEER</w:t>
            </w:r>
            <w:proofErr w:type="gramEnd"/>
            <w:r>
              <w:t>, with No Economizer</w:t>
            </w:r>
          </w:p>
        </w:tc>
      </w:tr>
      <w:tr w:rsidR="007A0FA1" w14:paraId="2ADFCE8C"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43AEA39" w14:textId="77777777" w:rsidR="007A0FA1" w:rsidRDefault="007A0FA1">
            <w:pPr>
              <w:spacing w:before="0" w:after="0" w:line="240" w:lineRule="auto"/>
              <w:rPr>
                <w:rFonts w:cs="Calibri Light"/>
                <w:sz w:val="20"/>
                <w:szCs w:val="20"/>
              </w:rPr>
            </w:pPr>
            <w:r>
              <w:t>SWHC014AC</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3386559" w14:textId="77777777" w:rsidR="007A0FA1" w:rsidRDefault="007A0FA1">
            <w:pPr>
              <w:spacing w:before="0" w:after="0" w:line="240" w:lineRule="auto"/>
              <w:rPr>
                <w:rFonts w:cs="Calibri Light"/>
                <w:color w:val="000000"/>
                <w:szCs w:val="22"/>
              </w:rPr>
            </w:pPr>
            <w:r>
              <w:rPr>
                <w:rFonts w:cs="Calibri Light"/>
                <w:color w:val="000000"/>
                <w:szCs w:val="22"/>
              </w:rPr>
              <w:t>NE-HVAC-airHP-Split-lt55kBtuh-15p0seer-8p7hspf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594DC9A" w14:textId="77777777" w:rsidR="007A0FA1" w:rsidRDefault="007A0FA1">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15 </w:t>
            </w:r>
            <w:proofErr w:type="gramStart"/>
            <w:r>
              <w:t>SEER</w:t>
            </w:r>
            <w:proofErr w:type="gramEnd"/>
            <w:r>
              <w:t>, with No Economizer</w:t>
            </w:r>
          </w:p>
        </w:tc>
      </w:tr>
      <w:tr w:rsidR="007A0FA1" w14:paraId="4516C972"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7039917" w14:textId="77777777" w:rsidR="007A0FA1" w:rsidRDefault="007A0FA1">
            <w:pPr>
              <w:spacing w:before="0" w:after="0" w:line="240" w:lineRule="auto"/>
              <w:rPr>
                <w:rFonts w:cs="Calibri Light"/>
                <w:sz w:val="20"/>
                <w:szCs w:val="20"/>
              </w:rPr>
            </w:pPr>
            <w:r>
              <w:lastRenderedPageBreak/>
              <w:t>SWHC014AD</w:t>
            </w: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1014E518" w14:textId="77777777" w:rsidR="007A0FA1" w:rsidRDefault="007A0FA1">
            <w:pPr>
              <w:spacing w:before="0" w:after="0" w:line="240" w:lineRule="auto"/>
              <w:rPr>
                <w:rFonts w:cs="Calibri Light"/>
                <w:color w:val="000000"/>
                <w:sz w:val="20"/>
                <w:szCs w:val="20"/>
              </w:rPr>
            </w:pPr>
            <w:r>
              <w:rPr>
                <w:rFonts w:cs="Calibri Light"/>
                <w:color w:val="000000"/>
                <w:szCs w:val="22"/>
              </w:rPr>
              <w:t>NE-HVAC-airHP-Split-lt55kBtuh-16p0seer-9p0hspf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CA5861D" w14:textId="77777777" w:rsidR="007A0FA1" w:rsidRDefault="007A0FA1">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16 </w:t>
            </w:r>
            <w:proofErr w:type="gramStart"/>
            <w:r>
              <w:t>SEER</w:t>
            </w:r>
            <w:proofErr w:type="gramEnd"/>
            <w:r>
              <w:t>, with No Economizer</w:t>
            </w:r>
          </w:p>
        </w:tc>
      </w:tr>
      <w:tr w:rsidR="007A0FA1" w14:paraId="7759F43F"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63AFC20" w14:textId="77777777" w:rsidR="007A0FA1" w:rsidRDefault="007A0FA1">
            <w:pPr>
              <w:spacing w:before="0" w:after="0" w:line="240" w:lineRule="auto"/>
              <w:rPr>
                <w:rFonts w:cs="Calibri Light"/>
                <w:sz w:val="20"/>
                <w:szCs w:val="20"/>
              </w:rPr>
            </w:pPr>
            <w:r>
              <w:t>SWHC014AE</w:t>
            </w:r>
          </w:p>
          <w:p w14:paraId="6FE705B4" w14:textId="77777777" w:rsidR="007A0FA1" w:rsidRDefault="007A0FA1">
            <w:pPr>
              <w:spacing w:before="0" w:after="0" w:line="240" w:lineRule="auto"/>
              <w:rPr>
                <w:rFonts w:cs="Calibri Light"/>
                <w:sz w:val="20"/>
                <w:szCs w:val="20"/>
              </w:rPr>
            </w:pP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CD2BF6F" w14:textId="77777777" w:rsidR="007A0FA1" w:rsidRDefault="007A0FA1">
            <w:pPr>
              <w:spacing w:before="0" w:after="0" w:line="240" w:lineRule="auto"/>
              <w:rPr>
                <w:rFonts w:cs="Calibri Light"/>
                <w:color w:val="000000"/>
                <w:sz w:val="20"/>
                <w:szCs w:val="20"/>
              </w:rPr>
            </w:pPr>
            <w:r>
              <w:rPr>
                <w:rFonts w:cs="Calibri Light"/>
                <w:color w:val="000000"/>
                <w:szCs w:val="22"/>
              </w:rPr>
              <w:t>NE-HVAC-airHP-Split-lt55kBtuh-17p0seer-9p4hspf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C06AE50" w14:textId="77777777" w:rsidR="007A0FA1" w:rsidRDefault="007A0FA1">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17 </w:t>
            </w:r>
            <w:proofErr w:type="gramStart"/>
            <w:r>
              <w:t>SEER</w:t>
            </w:r>
            <w:proofErr w:type="gramEnd"/>
            <w:r>
              <w:t>, with No Economizer</w:t>
            </w:r>
          </w:p>
        </w:tc>
      </w:tr>
      <w:tr w:rsidR="007A0FA1" w14:paraId="6115DED8"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FC1623" w14:textId="77777777" w:rsidR="007A0FA1" w:rsidRDefault="007A0FA1">
            <w:pPr>
              <w:spacing w:before="0" w:after="0" w:line="240" w:lineRule="auto"/>
              <w:rPr>
                <w:rFonts w:cs="Calibri Light"/>
                <w:sz w:val="20"/>
                <w:szCs w:val="20"/>
              </w:rPr>
            </w:pPr>
            <w:r>
              <w:t>SWHC014AF</w:t>
            </w:r>
          </w:p>
          <w:p w14:paraId="71EA234A" w14:textId="77777777" w:rsidR="007A0FA1" w:rsidRDefault="007A0FA1">
            <w:pPr>
              <w:spacing w:before="0" w:after="0" w:line="240" w:lineRule="auto"/>
              <w:rPr>
                <w:rFonts w:cs="Calibri Light"/>
                <w:sz w:val="20"/>
                <w:szCs w:val="20"/>
              </w:rPr>
            </w:pP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E58C146" w14:textId="77777777" w:rsidR="007A0FA1" w:rsidRDefault="007A0FA1">
            <w:pPr>
              <w:spacing w:before="0" w:after="0" w:line="240" w:lineRule="auto"/>
              <w:rPr>
                <w:rFonts w:cs="Calibri Light"/>
                <w:color w:val="000000"/>
                <w:sz w:val="20"/>
                <w:szCs w:val="20"/>
              </w:rPr>
            </w:pPr>
            <w:r>
              <w:rPr>
                <w:rFonts w:cs="Calibri Light"/>
                <w:color w:val="000000"/>
                <w:szCs w:val="22"/>
              </w:rPr>
              <w:t>NE-HVAC-airHP-Split-lt55kBtuh-18p0seer-9p7hspf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6DFB69C7" w14:textId="77777777" w:rsidR="007A0FA1" w:rsidRDefault="007A0FA1">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18 </w:t>
            </w:r>
            <w:proofErr w:type="gramStart"/>
            <w:r>
              <w:t>SEER</w:t>
            </w:r>
            <w:proofErr w:type="gramEnd"/>
            <w:r>
              <w:t>, with No Economizer</w:t>
            </w:r>
          </w:p>
        </w:tc>
      </w:tr>
      <w:tr w:rsidR="007A0FA1" w14:paraId="599B0C19"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F12DF82" w14:textId="77777777" w:rsidR="007A0FA1" w:rsidRDefault="007A0FA1">
            <w:pPr>
              <w:spacing w:before="0" w:after="0" w:line="240" w:lineRule="auto"/>
              <w:rPr>
                <w:rFonts w:cs="Calibri Light"/>
                <w:sz w:val="20"/>
                <w:szCs w:val="20"/>
              </w:rPr>
            </w:pPr>
            <w:r>
              <w:t>SWHC014AG</w:t>
            </w:r>
          </w:p>
          <w:p w14:paraId="32154C4E" w14:textId="77777777" w:rsidR="007A0FA1" w:rsidRDefault="007A0FA1">
            <w:pPr>
              <w:spacing w:before="0" w:after="0" w:line="240" w:lineRule="auto"/>
              <w:rPr>
                <w:rFonts w:cs="Calibri Light"/>
                <w:sz w:val="20"/>
                <w:szCs w:val="20"/>
              </w:rPr>
            </w:pP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761D0A26" w14:textId="77777777" w:rsidR="007A0FA1" w:rsidRDefault="007A0FA1">
            <w:pPr>
              <w:spacing w:before="0" w:after="0" w:line="240" w:lineRule="auto"/>
              <w:rPr>
                <w:rFonts w:cs="Calibri Light"/>
                <w:color w:val="000000"/>
                <w:sz w:val="20"/>
                <w:szCs w:val="20"/>
              </w:rPr>
            </w:pPr>
            <w:r>
              <w:t>NE-HVAC-airHP-Split-55to65kBtuh-15p0seer-8p7hspf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531B4E63" w14:textId="77777777" w:rsidR="007A0FA1" w:rsidRDefault="007A0FA1">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15 </w:t>
            </w:r>
            <w:proofErr w:type="gramStart"/>
            <w:r>
              <w:t>SEER</w:t>
            </w:r>
            <w:proofErr w:type="gramEnd"/>
            <w:r>
              <w:t>, with No Economizer</w:t>
            </w:r>
          </w:p>
        </w:tc>
      </w:tr>
      <w:tr w:rsidR="007A0FA1" w14:paraId="2BB590DC"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2BF6A5" w14:textId="77777777" w:rsidR="007A0FA1" w:rsidRDefault="007A0FA1">
            <w:pPr>
              <w:spacing w:before="0" w:after="0" w:line="240" w:lineRule="auto"/>
              <w:rPr>
                <w:rFonts w:cs="Calibri Light"/>
                <w:sz w:val="20"/>
                <w:szCs w:val="20"/>
              </w:rPr>
            </w:pPr>
            <w:r>
              <w:t>SWHC014AH</w:t>
            </w:r>
          </w:p>
          <w:p w14:paraId="2DA1F06F" w14:textId="77777777" w:rsidR="007A0FA1" w:rsidRDefault="007A0FA1">
            <w:pPr>
              <w:spacing w:before="0" w:after="0" w:line="240" w:lineRule="auto"/>
              <w:rPr>
                <w:rFonts w:cs="Calibri Light"/>
                <w:sz w:val="20"/>
                <w:szCs w:val="20"/>
              </w:rPr>
            </w:pP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89199A8" w14:textId="77777777" w:rsidR="007A0FA1" w:rsidRDefault="007A0FA1">
            <w:pPr>
              <w:spacing w:before="0" w:after="0" w:line="240" w:lineRule="auto"/>
              <w:rPr>
                <w:rFonts w:cs="Calibri Light"/>
                <w:color w:val="000000"/>
                <w:sz w:val="20"/>
                <w:szCs w:val="20"/>
              </w:rPr>
            </w:pPr>
            <w:r>
              <w:t>NE-HVAC-airHP-Split-55to65kBtuh-16p0seer-9p0hspf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4C098E0" w14:textId="77777777" w:rsidR="007A0FA1" w:rsidRDefault="007A0FA1">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16 </w:t>
            </w:r>
            <w:proofErr w:type="gramStart"/>
            <w:r>
              <w:t>SEER</w:t>
            </w:r>
            <w:proofErr w:type="gramEnd"/>
            <w:r>
              <w:t>, with No Economizer</w:t>
            </w:r>
          </w:p>
        </w:tc>
      </w:tr>
      <w:tr w:rsidR="007A0FA1" w14:paraId="54E46AD8"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830656" w14:textId="77777777" w:rsidR="007A0FA1" w:rsidRDefault="007A0FA1">
            <w:pPr>
              <w:spacing w:before="0" w:after="0" w:line="240" w:lineRule="auto"/>
              <w:rPr>
                <w:rFonts w:cs="Calibri Light"/>
                <w:sz w:val="20"/>
                <w:szCs w:val="20"/>
              </w:rPr>
            </w:pPr>
            <w:r>
              <w:t>SWHC014AI</w:t>
            </w:r>
          </w:p>
          <w:p w14:paraId="1096F6D9" w14:textId="77777777" w:rsidR="007A0FA1" w:rsidRDefault="007A0FA1">
            <w:pPr>
              <w:spacing w:before="0" w:after="0" w:line="240" w:lineRule="auto"/>
              <w:rPr>
                <w:rFonts w:cs="Calibri Light"/>
                <w:sz w:val="20"/>
                <w:szCs w:val="20"/>
              </w:rPr>
            </w:pP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0A88A200" w14:textId="77777777" w:rsidR="007A0FA1" w:rsidRDefault="007A0FA1">
            <w:pPr>
              <w:spacing w:before="0" w:after="0" w:line="240" w:lineRule="auto"/>
              <w:rPr>
                <w:rFonts w:cs="Calibri Light"/>
                <w:color w:val="000000"/>
                <w:sz w:val="20"/>
                <w:szCs w:val="20"/>
              </w:rPr>
            </w:pPr>
            <w:r>
              <w:t>NE-HVAC-airHP-Split-55to65kBtuh-17p0seer-9p4hspf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6BB9232" w14:textId="77777777" w:rsidR="007A0FA1" w:rsidRDefault="007A0FA1">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17 </w:t>
            </w:r>
            <w:proofErr w:type="gramStart"/>
            <w:r>
              <w:t>SEER</w:t>
            </w:r>
            <w:proofErr w:type="gramEnd"/>
            <w:r>
              <w:t>, with No Economizer</w:t>
            </w:r>
          </w:p>
        </w:tc>
      </w:tr>
      <w:tr w:rsidR="007A0FA1" w14:paraId="699442E3" w14:textId="77777777" w:rsidTr="007A0FA1">
        <w:trPr>
          <w:trHeight w:val="300"/>
        </w:trPr>
        <w:tc>
          <w:tcPr>
            <w:tcW w:w="1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E3C2C6" w14:textId="77777777" w:rsidR="007A0FA1" w:rsidRDefault="007A0FA1">
            <w:pPr>
              <w:spacing w:before="0" w:after="0" w:line="240" w:lineRule="auto"/>
            </w:pPr>
            <w:r>
              <w:t>SWHC014AJ</w:t>
            </w:r>
          </w:p>
          <w:p w14:paraId="11B40BC3" w14:textId="77777777" w:rsidR="007A0FA1" w:rsidRDefault="007A0FA1">
            <w:pPr>
              <w:spacing w:before="0" w:after="0" w:line="240" w:lineRule="auto"/>
              <w:rPr>
                <w:rFonts w:cs="Calibri Light"/>
                <w:sz w:val="20"/>
                <w:szCs w:val="20"/>
              </w:rPr>
            </w:pPr>
          </w:p>
        </w:tc>
        <w:tc>
          <w:tcPr>
            <w:tcW w:w="3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333E58C" w14:textId="77777777" w:rsidR="007A0FA1" w:rsidRDefault="007A0FA1">
            <w:pPr>
              <w:spacing w:before="0" w:after="0" w:line="240" w:lineRule="auto"/>
              <w:rPr>
                <w:rFonts w:cs="Calibri Light"/>
                <w:color w:val="000000"/>
                <w:sz w:val="20"/>
                <w:szCs w:val="20"/>
              </w:rPr>
            </w:pPr>
            <w:r>
              <w:t>NE-HVAC-airHP-Split-55to65kBtuh-18p0seer-9p7hspf</w:t>
            </w:r>
          </w:p>
        </w:tc>
        <w:tc>
          <w:tcPr>
            <w:tcW w:w="5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38F9FE0E" w14:textId="77777777" w:rsidR="007A0FA1" w:rsidRDefault="007A0FA1">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18 </w:t>
            </w:r>
            <w:proofErr w:type="gramStart"/>
            <w:r>
              <w:t>SEER</w:t>
            </w:r>
            <w:proofErr w:type="gramEnd"/>
            <w:r>
              <w:t>, with No Economizer</w:t>
            </w:r>
          </w:p>
        </w:tc>
      </w:tr>
    </w:tbl>
    <w:p w14:paraId="3A2E03E3" w14:textId="77777777" w:rsidR="00593220" w:rsidRDefault="00593220" w:rsidP="004B06E3"/>
    <w:p w14:paraId="46B7702E" w14:textId="77777777" w:rsidR="00BB4F22" w:rsidRPr="004B06E3" w:rsidRDefault="00BB4F22" w:rsidP="00BB4F22">
      <w:pPr>
        <w:pStyle w:val="eTRMHeading3"/>
      </w:pPr>
      <w:bookmarkStart w:id="47" w:name="_Toc486490856"/>
      <w:bookmarkStart w:id="48" w:name="_Toc486580927"/>
      <w:bookmarkStart w:id="49" w:name="_Toc20997204"/>
      <w:r w:rsidRPr="004B06E3">
        <w:t>Peak Electric Demand Reduction (kW)</w:t>
      </w:r>
      <w:bookmarkEnd w:id="47"/>
      <w:bookmarkEnd w:id="48"/>
      <w:bookmarkEnd w:id="49"/>
    </w:p>
    <w:p w14:paraId="4225FFD5" w14:textId="113B51E5" w:rsidR="00071BB7" w:rsidRDefault="00071BB7" w:rsidP="00071BB7">
      <w:r>
        <w:t xml:space="preserve">The </w:t>
      </w:r>
      <w:r w:rsidR="008F2505">
        <w:t>peak demand reduction</w:t>
      </w:r>
      <w:r w:rsidRPr="00370595">
        <w:t xml:space="preserve"> </w:t>
      </w:r>
      <w:r>
        <w:t xml:space="preserve">of a unitary air-cooled </w:t>
      </w:r>
      <w:r w:rsidR="008F2505">
        <w:t xml:space="preserve">air conditioners and heat pumps </w:t>
      </w:r>
      <w:r>
        <w:t xml:space="preserve">&lt; 65 </w:t>
      </w:r>
      <w:proofErr w:type="spellStart"/>
      <w:r>
        <w:t>kBtuh</w:t>
      </w:r>
      <w:proofErr w:type="spellEnd"/>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316CC9">
        <w:t>DEER</w:t>
      </w:r>
      <w:r w:rsidR="00793766" w:rsidRPr="00316CC9">
        <w:t>2020</w:t>
      </w:r>
      <w:r w:rsidRPr="00006F8E">
        <w:t>. The results were reported in the Remote Ex-Ante Database Interface (READI) tool; the</w:t>
      </w:r>
      <w:r w:rsidRPr="00AB4637">
        <w:t xml:space="preserve"> results have not been modified.</w:t>
      </w:r>
      <w:r w:rsidRPr="006A2EE1">
        <w:rPr>
          <w:rFonts w:asciiTheme="minorHAnsi" w:hAnsiTheme="minorHAnsi"/>
          <w:szCs w:val="22"/>
        </w:rPr>
        <w:t xml:space="preserve"> </w:t>
      </w:r>
    </w:p>
    <w:p w14:paraId="78A022D2" w14:textId="77777777" w:rsidR="001B5631" w:rsidRDefault="001B5631" w:rsidP="001B5631">
      <w:r>
        <w:t>Since DEER does not have measures for 18 SEER packaged heat pumps, those savings were taken directly out from DEER using the lower savings values of 17 SEER.</w:t>
      </w:r>
    </w:p>
    <w:p w14:paraId="4AC8E423" w14:textId="6DF66621" w:rsidR="001B5631" w:rsidRDefault="008F2505" w:rsidP="00BB4F22">
      <w:r>
        <w:t>See Electric Savings for additional details.</w:t>
      </w:r>
    </w:p>
    <w:p w14:paraId="20B8FD7F" w14:textId="77777777" w:rsidR="005E7066" w:rsidRDefault="005E7066" w:rsidP="00BB4F22"/>
    <w:p w14:paraId="02E97124" w14:textId="77777777" w:rsidR="00177EB6" w:rsidRPr="004B06E3" w:rsidRDefault="00177EB6" w:rsidP="00177EB6">
      <w:pPr>
        <w:pStyle w:val="eTRMHeading3"/>
      </w:pPr>
      <w:bookmarkStart w:id="50" w:name="_Toc486490858"/>
      <w:bookmarkStart w:id="51" w:name="_Toc486580929"/>
      <w:bookmarkStart w:id="52" w:name="_Toc20997205"/>
      <w:r w:rsidRPr="004B06E3">
        <w:t>Gas Savings (Therms)</w:t>
      </w:r>
      <w:bookmarkEnd w:id="50"/>
      <w:bookmarkEnd w:id="51"/>
      <w:bookmarkEnd w:id="52"/>
    </w:p>
    <w:p w14:paraId="5F6F69D7" w14:textId="2BC17E1B" w:rsidR="00071BB7" w:rsidRDefault="00071BB7" w:rsidP="00071BB7">
      <w:r>
        <w:t xml:space="preserve">The </w:t>
      </w:r>
      <w:r w:rsidR="008F2505">
        <w:t>gas unit</w:t>
      </w:r>
      <w:r w:rsidRPr="00370595">
        <w:t xml:space="preserve"> energy savings </w:t>
      </w:r>
      <w:r>
        <w:t xml:space="preserve">of a unitary air-cooled </w:t>
      </w:r>
      <w:r w:rsidR="008F2505">
        <w:t xml:space="preserve">air conditioners and heat pumps </w:t>
      </w:r>
      <w:r>
        <w:t xml:space="preserve">&lt; 65 </w:t>
      </w:r>
      <w:proofErr w:type="spellStart"/>
      <w:r>
        <w:t>kBtuh</w:t>
      </w:r>
      <w:proofErr w:type="spellEnd"/>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8F2505">
        <w:t>DEER</w:t>
      </w:r>
      <w:r w:rsidR="00793766" w:rsidRPr="008F2505">
        <w:t>2020</w:t>
      </w:r>
      <w:r w:rsidRPr="008F2505">
        <w:t>.</w:t>
      </w:r>
      <w:r w:rsidRPr="00006F8E">
        <w:t xml:space="preserve"> The results were reported in the Remote Ex-Ante Database Interface (READI) tool; the</w:t>
      </w:r>
      <w:r w:rsidRPr="00AB4637">
        <w:t xml:space="preserve"> results have not been modified.</w:t>
      </w:r>
      <w:r w:rsidRPr="006A2EE1">
        <w:rPr>
          <w:rFonts w:asciiTheme="minorHAnsi" w:hAnsiTheme="minorHAnsi"/>
          <w:szCs w:val="22"/>
        </w:rPr>
        <w:t xml:space="preserve"> </w:t>
      </w:r>
    </w:p>
    <w:p w14:paraId="61B2600F" w14:textId="77777777" w:rsidR="001B5631" w:rsidRDefault="001B5631" w:rsidP="001B5631">
      <w:r>
        <w:t>Since DEER does not have measures for 18 SEER packaged heat pumps, those savings were taken directly out from DEER using the lower savings values of 17 SEER.</w:t>
      </w:r>
    </w:p>
    <w:p w14:paraId="20A2A164" w14:textId="77777777" w:rsidR="00177EB6" w:rsidRDefault="00177EB6" w:rsidP="00177EB6"/>
    <w:p w14:paraId="4DDCD51F" w14:textId="4F2BBAD7" w:rsidR="007D230B" w:rsidRPr="004B06E3" w:rsidRDefault="00245AFF" w:rsidP="00462BB6">
      <w:pPr>
        <w:pStyle w:val="eTRMHeading3"/>
      </w:pPr>
      <w:bookmarkStart w:id="53" w:name="_Toc20997206"/>
      <w:bookmarkStart w:id="54" w:name="_Toc486490859"/>
      <w:bookmarkStart w:id="55" w:name="_Toc486580930"/>
      <w:r w:rsidRPr="004B06E3">
        <w:t>Life Cycle</w:t>
      </w:r>
      <w:bookmarkEnd w:id="53"/>
      <w:r w:rsidR="007D230B" w:rsidRPr="004B06E3">
        <w:t xml:space="preserve"> </w:t>
      </w:r>
      <w:bookmarkEnd w:id="54"/>
      <w:bookmarkEnd w:id="55"/>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w:t>
      </w:r>
    </w:p>
    <w:p w14:paraId="2BBE79C1" w14:textId="2DF15327" w:rsidR="008B4F79" w:rsidRDefault="007F669E" w:rsidP="008B4F79">
      <w:r w:rsidRPr="00CB7EC5">
        <w:lastRenderedPageBreak/>
        <w:t xml:space="preserve">The EUL and RUL specified for </w:t>
      </w:r>
      <w:r w:rsidR="00CB7EC5" w:rsidRPr="00CB7EC5">
        <w:t>the unitary air-cooled air conditioner and heat pump units</w:t>
      </w:r>
      <w:r w:rsidRPr="00CB7EC5">
        <w:t xml:space="preserve"> are presented</w:t>
      </w:r>
      <w:r>
        <w:t xml:space="preserve"> </w:t>
      </w:r>
      <w:r w:rsidR="005E7066">
        <w:t xml:space="preserve">Below. The estimated lifetime of this measure was retrieved from the Energy Efficiency Policy Manual, v. 2.0 (2003). </w:t>
      </w:r>
      <w:r w:rsidR="008B4F79">
        <w:t xml:space="preserve">Note that RUL is only applicable for add-on </w:t>
      </w:r>
      <w:r w:rsidR="00713E15">
        <w:t>equipment</w:t>
      </w:r>
      <w:r w:rsidR="008B4F79">
        <w:t xml:space="preserve"> and </w:t>
      </w:r>
      <w:r w:rsidR="00713E15">
        <w:t>accelerated</w:t>
      </w:r>
      <w:r w:rsidR="008B4F79">
        <w:t xml:space="preserve"> replacement </w:t>
      </w:r>
      <w:r w:rsidR="00713E15">
        <w:t xml:space="preserve">installations and is </w:t>
      </w:r>
      <w:r w:rsidR="008B4F79">
        <w:t>not applicable for this measure.</w:t>
      </w:r>
    </w:p>
    <w:p w14:paraId="59E8023E" w14:textId="5F38EF7A" w:rsidR="00B5442B" w:rsidRDefault="00B5442B" w:rsidP="00B5442B">
      <w:pPr>
        <w:pStyle w:val="Caption"/>
      </w:pPr>
      <w:bookmarkStart w:id="56" w:name="_Ref19174126"/>
      <w:r>
        <w:t xml:space="preserve">Table </w:t>
      </w:r>
      <w:fldSimple w:instr=" SEQ Table \* ARABIC ">
        <w:r w:rsidR="009B176A">
          <w:rPr>
            <w:noProof/>
          </w:rPr>
          <w:t>6</w:t>
        </w:r>
      </w:fldSimple>
      <w:bookmarkEnd w:id="56"/>
      <w:r w:rsidR="008900E7">
        <w:rPr>
          <w:noProof/>
        </w:rPr>
        <w:t>:</w:t>
      </w:r>
      <w:r>
        <w:t xml:space="preserve"> </w:t>
      </w:r>
      <w:r w:rsidRPr="00DD1B15">
        <w:t>Effective Useful Life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8B4F79" w:rsidRPr="00500C4E" w14:paraId="1FE81044" w14:textId="0C091959" w:rsidTr="008B4F79">
        <w:trPr>
          <w:cantSplit/>
          <w:trHeight w:val="20"/>
        </w:trPr>
        <w:tc>
          <w:tcPr>
            <w:tcW w:w="2877" w:type="dxa"/>
            <w:shd w:val="clear" w:color="auto" w:fill="F2F2F2" w:themeFill="background1" w:themeFillShade="F2"/>
            <w:vAlign w:val="bottom"/>
          </w:tcPr>
          <w:p w14:paraId="1666F440" w14:textId="31AB2C31" w:rsidR="008B4F79" w:rsidRPr="00694410" w:rsidRDefault="008B4F79" w:rsidP="009C31A4">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8B4F79" w:rsidRPr="00694410" w:rsidRDefault="008B4F79" w:rsidP="009C31A4">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8B4F79" w:rsidRPr="00694410" w:rsidRDefault="008B4F79" w:rsidP="009C31A4">
            <w:pPr>
              <w:keepNext/>
              <w:keepLines/>
              <w:spacing w:before="20" w:after="20"/>
              <w:jc w:val="center"/>
              <w:rPr>
                <w:rFonts w:cstheme="minorHAnsi"/>
                <w:b/>
                <w:sz w:val="20"/>
                <w:szCs w:val="20"/>
              </w:rPr>
            </w:pPr>
            <w:r>
              <w:rPr>
                <w:rFonts w:cstheme="minorHAnsi"/>
                <w:b/>
                <w:sz w:val="20"/>
                <w:szCs w:val="20"/>
              </w:rPr>
              <w:t>Source</w:t>
            </w:r>
          </w:p>
        </w:tc>
      </w:tr>
      <w:tr w:rsidR="008F2505" w:rsidRPr="00500C4E" w14:paraId="7B636A73" w14:textId="217149CE" w:rsidTr="008F2505">
        <w:trPr>
          <w:cantSplit/>
          <w:trHeight w:val="20"/>
        </w:trPr>
        <w:tc>
          <w:tcPr>
            <w:tcW w:w="2877" w:type="dxa"/>
            <w:vAlign w:val="center"/>
          </w:tcPr>
          <w:p w14:paraId="64E6D65F" w14:textId="254566F8" w:rsidR="008F2505" w:rsidRPr="00177EB6" w:rsidRDefault="008F2505" w:rsidP="008F2505">
            <w:pPr>
              <w:keepNext/>
              <w:keepLines/>
              <w:spacing w:before="20" w:after="20"/>
              <w:rPr>
                <w:sz w:val="20"/>
                <w:szCs w:val="20"/>
              </w:rPr>
            </w:pPr>
            <w:r>
              <w:rPr>
                <w:rFonts w:cstheme="minorHAnsi"/>
                <w:sz w:val="20"/>
                <w:szCs w:val="20"/>
              </w:rPr>
              <w:t>EUL – Rated years</w:t>
            </w:r>
          </w:p>
        </w:tc>
        <w:tc>
          <w:tcPr>
            <w:tcW w:w="1438" w:type="dxa"/>
            <w:vAlign w:val="center"/>
          </w:tcPr>
          <w:p w14:paraId="636160CC" w14:textId="496A0FBE" w:rsidR="008F2505" w:rsidRPr="008342A9" w:rsidRDefault="008F2505" w:rsidP="008F2505">
            <w:pPr>
              <w:keepNext/>
              <w:keepLines/>
              <w:spacing w:before="20" w:after="20"/>
              <w:jc w:val="center"/>
              <w:rPr>
                <w:sz w:val="20"/>
                <w:szCs w:val="20"/>
              </w:rPr>
            </w:pPr>
            <w:r w:rsidRPr="008342A9">
              <w:rPr>
                <w:sz w:val="20"/>
                <w:szCs w:val="20"/>
              </w:rPr>
              <w:t>15.0</w:t>
            </w:r>
          </w:p>
        </w:tc>
        <w:tc>
          <w:tcPr>
            <w:tcW w:w="5220" w:type="dxa"/>
          </w:tcPr>
          <w:p w14:paraId="12293357" w14:textId="5AB9BF9C" w:rsidR="008F2505" w:rsidRPr="008342A9" w:rsidRDefault="008F2505" w:rsidP="008F2505">
            <w:pPr>
              <w:keepNext/>
              <w:keepLines/>
              <w:spacing w:before="20" w:after="20"/>
              <w:rPr>
                <w:sz w:val="20"/>
                <w:szCs w:val="20"/>
                <w:highlight w:val="yellow"/>
              </w:rPr>
            </w:pPr>
            <w:r w:rsidRPr="0090361F">
              <w:rPr>
                <w:sz w:val="18"/>
                <w:szCs w:val="20"/>
              </w:rPr>
              <w:t xml:space="preserve">California Public Utilities Commission (CPUC), Energy Division.  2003. </w:t>
            </w:r>
            <w:r w:rsidRPr="0090361F">
              <w:rPr>
                <w:rStyle w:val="Emphasis"/>
                <w:sz w:val="18"/>
                <w:szCs w:val="20"/>
              </w:rPr>
              <w:t>Energy Efficiency Policy Manual v 2.0.</w:t>
            </w:r>
            <w:r w:rsidRPr="0090361F">
              <w:rPr>
                <w:rStyle w:val="Emphasis"/>
                <w:i w:val="0"/>
                <w:iCs w:val="0"/>
                <w:sz w:val="18"/>
                <w:szCs w:val="20"/>
              </w:rPr>
              <w:t xml:space="preserve"> Page 17.</w:t>
            </w:r>
          </w:p>
        </w:tc>
      </w:tr>
      <w:tr w:rsidR="008B4F79" w:rsidRPr="00500C4E" w14:paraId="71871DE1" w14:textId="51A3395E" w:rsidTr="008B4F79">
        <w:trPr>
          <w:cantSplit/>
          <w:trHeight w:val="20"/>
        </w:trPr>
        <w:tc>
          <w:tcPr>
            <w:tcW w:w="2877" w:type="dxa"/>
          </w:tcPr>
          <w:p w14:paraId="4BA48D82" w14:textId="06847760" w:rsidR="008B4F79" w:rsidRPr="00177EB6" w:rsidRDefault="008342A9" w:rsidP="00177EB6">
            <w:pPr>
              <w:keepNext/>
              <w:keepLines/>
              <w:spacing w:before="20" w:after="20"/>
              <w:rPr>
                <w:sz w:val="20"/>
                <w:szCs w:val="20"/>
              </w:rPr>
            </w:pPr>
            <w:r w:rsidRPr="00177EB6">
              <w:rPr>
                <w:rFonts w:cstheme="minorHAnsi"/>
                <w:sz w:val="20"/>
                <w:szCs w:val="20"/>
              </w:rPr>
              <w:t xml:space="preserve">RUL </w:t>
            </w:r>
            <w:r>
              <w:rPr>
                <w:rFonts w:cstheme="minorHAnsi"/>
                <w:sz w:val="20"/>
                <w:szCs w:val="20"/>
              </w:rPr>
              <w:t>- Rated years</w:t>
            </w:r>
          </w:p>
        </w:tc>
        <w:tc>
          <w:tcPr>
            <w:tcW w:w="1438" w:type="dxa"/>
          </w:tcPr>
          <w:p w14:paraId="012CC38D" w14:textId="5ACF020B" w:rsidR="008B4F79" w:rsidRPr="008342A9" w:rsidRDefault="008B4F79" w:rsidP="00177EB6">
            <w:pPr>
              <w:keepNext/>
              <w:keepLines/>
              <w:spacing w:before="20" w:after="20"/>
              <w:jc w:val="center"/>
              <w:rPr>
                <w:sz w:val="20"/>
                <w:szCs w:val="20"/>
              </w:rPr>
            </w:pPr>
            <w:r w:rsidRPr="008342A9">
              <w:rPr>
                <w:sz w:val="20"/>
                <w:szCs w:val="20"/>
              </w:rPr>
              <w:t>n/a</w:t>
            </w:r>
          </w:p>
        </w:tc>
        <w:tc>
          <w:tcPr>
            <w:tcW w:w="5220" w:type="dxa"/>
          </w:tcPr>
          <w:p w14:paraId="7DDC9DCA" w14:textId="189572C2" w:rsidR="008B4F79" w:rsidRPr="008342A9" w:rsidRDefault="008B4F79" w:rsidP="00F326A2">
            <w:pPr>
              <w:keepNext/>
              <w:keepLines/>
              <w:spacing w:before="20" w:after="20"/>
              <w:rPr>
                <w:sz w:val="20"/>
                <w:szCs w:val="20"/>
              </w:rPr>
            </w:pPr>
            <w:r w:rsidRPr="008342A9">
              <w:rPr>
                <w:sz w:val="20"/>
                <w:szCs w:val="20"/>
              </w:rPr>
              <w:t>n/a</w:t>
            </w:r>
          </w:p>
        </w:tc>
      </w:tr>
    </w:tbl>
    <w:p w14:paraId="21BBC22B" w14:textId="77777777" w:rsidR="007D230B" w:rsidRPr="004B06E3" w:rsidRDefault="007D230B" w:rsidP="004142EF"/>
    <w:p w14:paraId="3B14B593" w14:textId="77777777" w:rsidR="007D230B" w:rsidRPr="004B06E3" w:rsidRDefault="007D230B" w:rsidP="00462BB6">
      <w:pPr>
        <w:pStyle w:val="eTRMHeading3"/>
      </w:pPr>
      <w:bookmarkStart w:id="57" w:name="_Toc486490860"/>
      <w:bookmarkStart w:id="58" w:name="_Toc486580931"/>
      <w:bookmarkStart w:id="59" w:name="_Toc20997207"/>
      <w:r w:rsidRPr="004B06E3">
        <w:t>Base Case Material Cost ($/unit)</w:t>
      </w:r>
      <w:bookmarkEnd w:id="57"/>
      <w:bookmarkEnd w:id="58"/>
      <w:bookmarkEnd w:id="59"/>
    </w:p>
    <w:p w14:paraId="36D75F1C" w14:textId="5FE3FDDD" w:rsidR="00E56971" w:rsidRDefault="00E56971" w:rsidP="004142EF">
      <w:r>
        <w:t>Base case equipment costs for split and packaged AC units (13 and 14 SEER only) and HP units (13, 14, an</w:t>
      </w:r>
      <w:r w:rsidRPr="00624D23">
        <w:t xml:space="preserve">d 15 </w:t>
      </w:r>
      <w:proofErr w:type="gramStart"/>
      <w:r w:rsidRPr="00624D23">
        <w:t>SEER</w:t>
      </w:r>
      <w:proofErr w:type="gramEnd"/>
      <w:r w:rsidRPr="00624D23">
        <w:t xml:space="preserve"> only) </w:t>
      </w:r>
      <w:bookmarkStart w:id="60" w:name="_Hlk517820071"/>
      <w:r w:rsidRPr="00624D23">
        <w:t xml:space="preserve">were obtained from the </w:t>
      </w:r>
      <w:r w:rsidRPr="008F2505">
        <w:rPr>
          <w:i/>
          <w:iCs/>
        </w:rPr>
        <w:t>2010–2012 WO017 Ex Ante Measure Cost Study</w:t>
      </w:r>
      <w:r w:rsidRPr="00624D23">
        <w:t xml:space="preserve"> conducted by </w:t>
      </w:r>
      <w:proofErr w:type="spellStart"/>
      <w:r w:rsidRPr="00624D23">
        <w:t>Itron</w:t>
      </w:r>
      <w:proofErr w:type="spellEnd"/>
      <w:r w:rsidRPr="00624D23">
        <w:t>, Inc.</w:t>
      </w:r>
      <w:r w:rsidR="008F2505" w:rsidRPr="00624D23">
        <w:rPr>
          <w:rStyle w:val="FootnoteReference"/>
        </w:rPr>
        <w:footnoteReference w:id="2"/>
      </w:r>
      <w:r w:rsidR="00F326A2" w:rsidRPr="00624D23">
        <w:t xml:space="preserve"> </w:t>
      </w:r>
      <w:bookmarkEnd w:id="60"/>
      <w:r w:rsidRPr="00624D23">
        <w:t>All</w:t>
      </w:r>
      <w:r>
        <w:t xml:space="preserve"> measure offerings except the to-code units use the 14 SEER costs as base case costs. The to-code measure offerings are assigned the 13 SEER costs as base case costs.</w:t>
      </w:r>
      <w:r w:rsidR="008F2505" w:rsidRPr="00624D23">
        <w:rPr>
          <w:rStyle w:val="FootnoteReference"/>
        </w:rPr>
        <w:footnoteReference w:id="3"/>
      </w:r>
    </w:p>
    <w:p w14:paraId="31C34490" w14:textId="77777777" w:rsidR="00E56971" w:rsidRPr="004B06E3" w:rsidRDefault="00E56971" w:rsidP="004142EF"/>
    <w:p w14:paraId="44E8DBEB" w14:textId="77777777" w:rsidR="007D230B" w:rsidRPr="004B06E3" w:rsidRDefault="007D230B" w:rsidP="00462BB6">
      <w:pPr>
        <w:pStyle w:val="eTRMHeading3"/>
      </w:pPr>
      <w:bookmarkStart w:id="61" w:name="_Toc486490861"/>
      <w:bookmarkStart w:id="62" w:name="_Toc486580932"/>
      <w:bookmarkStart w:id="63" w:name="_Toc20997208"/>
      <w:r w:rsidRPr="004B06E3">
        <w:t>Measure Case Material Cost ($/unit)</w:t>
      </w:r>
      <w:bookmarkEnd w:id="61"/>
      <w:bookmarkEnd w:id="62"/>
      <w:bookmarkEnd w:id="63"/>
    </w:p>
    <w:p w14:paraId="6FF7949C" w14:textId="07030F4A" w:rsidR="00E56971" w:rsidRDefault="00961B2F" w:rsidP="00E56971">
      <w:r>
        <w:t xml:space="preserve">Measure case equipment costs for split and packaged AC units (13 and 14 SEER only) and HP units (13, 14, and 15 </w:t>
      </w:r>
      <w:proofErr w:type="gramStart"/>
      <w:r>
        <w:t>SEER</w:t>
      </w:r>
      <w:proofErr w:type="gramEnd"/>
      <w:r>
        <w:t xml:space="preserve"> only) were obtained from the </w:t>
      </w:r>
      <w:r w:rsidRPr="008F2505">
        <w:rPr>
          <w:i/>
          <w:iCs/>
        </w:rPr>
        <w:t>2010–2012 WO017 Ex Ante Measure Cost Study</w:t>
      </w:r>
      <w:r>
        <w:t xml:space="preserve"> conducted by </w:t>
      </w:r>
      <w:proofErr w:type="spellStart"/>
      <w:r>
        <w:t>Itron</w:t>
      </w:r>
      <w:proofErr w:type="spellEnd"/>
      <w:r>
        <w:t>, Inc.</w:t>
      </w:r>
      <w:r w:rsidR="008F2505" w:rsidRPr="00624D23">
        <w:rPr>
          <w:rStyle w:val="FootnoteReference"/>
        </w:rPr>
        <w:footnoteReference w:id="4"/>
      </w:r>
      <w:r>
        <w:t xml:space="preserve"> </w:t>
      </w:r>
      <w:r w:rsidRPr="00624D23">
        <w:t>These costs were first converted to per-ton costs and then linearly extrapolated to determine costs for up all units up to 18 SEER.</w:t>
      </w:r>
      <w:r w:rsidR="005434A9" w:rsidRPr="00624D23">
        <w:rPr>
          <w:rStyle w:val="FootnoteReference"/>
        </w:rPr>
        <w:footnoteReference w:id="5"/>
      </w:r>
    </w:p>
    <w:p w14:paraId="080D09AE" w14:textId="6BCC5AA0" w:rsidR="00E56971" w:rsidRPr="00E56971" w:rsidRDefault="00E56971" w:rsidP="00E56971">
      <w:pPr>
        <w:spacing w:line="248" w:lineRule="auto"/>
        <w:ind w:right="160"/>
      </w:pPr>
      <w:r>
        <w:t>The cost for the single phase 15 SEER air conditioners and heat pumps are the same as the three-phase 15 SEER AC and HP costs.</w:t>
      </w:r>
    </w:p>
    <w:p w14:paraId="7448E56E" w14:textId="77777777" w:rsidR="00D73DD3" w:rsidRDefault="00D73DD3" w:rsidP="004142EF"/>
    <w:p w14:paraId="02691007" w14:textId="3C007D4F" w:rsidR="007D230B" w:rsidRPr="004B06E3" w:rsidRDefault="002E5874" w:rsidP="00462BB6">
      <w:pPr>
        <w:pStyle w:val="eTRMHeading3"/>
      </w:pPr>
      <w:bookmarkStart w:id="64" w:name="_Toc486490862"/>
      <w:bookmarkStart w:id="65" w:name="_Toc486580933"/>
      <w:bookmarkStart w:id="66" w:name="_Toc20997209"/>
      <w:r>
        <w:t xml:space="preserve">Base Case </w:t>
      </w:r>
      <w:r w:rsidR="007D230B" w:rsidRPr="004B06E3">
        <w:t>Labor Cost ($/unit)</w:t>
      </w:r>
      <w:bookmarkEnd w:id="64"/>
      <w:bookmarkEnd w:id="65"/>
      <w:bookmarkEnd w:id="66"/>
    </w:p>
    <w:p w14:paraId="0CB762B3" w14:textId="27FC1D3F" w:rsidR="002E5874" w:rsidRDefault="00624D23" w:rsidP="002E5874">
      <w:r>
        <w:t>The base case installation labor costs were derived using the same approach as the base case material costs. See Base Case Material Cost.</w:t>
      </w:r>
    </w:p>
    <w:p w14:paraId="5E89BC5E" w14:textId="22B628A3" w:rsidR="002E5874" w:rsidRPr="004B06E3" w:rsidRDefault="002E5874" w:rsidP="002E5874">
      <w:pPr>
        <w:pStyle w:val="eTRMHeading3"/>
      </w:pPr>
      <w:bookmarkStart w:id="67" w:name="_Toc20997210"/>
      <w:r>
        <w:t xml:space="preserve">Measure Case </w:t>
      </w:r>
      <w:r w:rsidRPr="004B06E3">
        <w:t>Labor Cost ($/unit)</w:t>
      </w:r>
      <w:bookmarkEnd w:id="67"/>
    </w:p>
    <w:p w14:paraId="7360F9FC" w14:textId="44917E08" w:rsidR="00624D23" w:rsidRPr="002E5874" w:rsidRDefault="00624D23" w:rsidP="00624D23">
      <w:r>
        <w:t>The measure case installation labor costs were derived using the same approach as the measure case material costs. See Base Case Material Cost.</w:t>
      </w:r>
    </w:p>
    <w:p w14:paraId="5FCE367F" w14:textId="77777777" w:rsidR="007D230B" w:rsidRPr="004B06E3" w:rsidRDefault="007D230B" w:rsidP="004142EF"/>
    <w:p w14:paraId="050D9183" w14:textId="7ABF5C13" w:rsidR="007D230B" w:rsidRPr="004B06E3" w:rsidRDefault="004B06E3" w:rsidP="00462BB6">
      <w:pPr>
        <w:pStyle w:val="eTRMHeading3"/>
      </w:pPr>
      <w:bookmarkStart w:id="68" w:name="_Toc486490863"/>
      <w:bookmarkStart w:id="69" w:name="_Toc486580934"/>
      <w:bookmarkStart w:id="70" w:name="_Toc20997211"/>
      <w:r>
        <w:t>Net-to-Gross</w:t>
      </w:r>
      <w:bookmarkEnd w:id="68"/>
      <w:bookmarkEnd w:id="69"/>
      <w:r w:rsidR="008D4652">
        <w:t xml:space="preserve"> (NTG)</w:t>
      </w:r>
      <w:bookmarkEnd w:id="70"/>
    </w:p>
    <w:p w14:paraId="169621F8" w14:textId="7F814B59" w:rsidR="00CC6501" w:rsidRPr="004B06E3" w:rsidRDefault="00AA3E2A" w:rsidP="00CC6501">
      <w:r w:rsidRPr="00860FEC">
        <w:t xml:space="preserve">The net-to-gross (NTG) ratio represents the portion of gross impacts that are determined to be directly attributed to a specific program intervention. The relevant NTG values for </w:t>
      </w:r>
      <w:r w:rsidR="005F31A6">
        <w:t xml:space="preserve">all packaged and split system </w:t>
      </w:r>
      <w:r w:rsidR="00897F41">
        <w:t>air conditioner</w:t>
      </w:r>
      <w:r w:rsidR="005F31A6">
        <w:t xml:space="preserve"> and heat pump replacements</w:t>
      </w:r>
      <w:r w:rsidRPr="00860FEC">
        <w:t xml:space="preserve"> are specified</w:t>
      </w:r>
      <w:r>
        <w:t xml:space="preserve"> </w:t>
      </w:r>
      <w:r w:rsidR="00DC0170">
        <w:t>below</w:t>
      </w:r>
      <w:r w:rsidRPr="004D069A">
        <w:t>.</w:t>
      </w:r>
      <w:r>
        <w:t xml:space="preserve"> </w:t>
      </w:r>
      <w:r w:rsidR="00F06A33">
        <w:t>The NTG for this measure was stipulated by the California Public Utilities Commission (CPUC) Energy Division in Resolution E-</w:t>
      </w:r>
      <w:r w:rsidR="00563F13">
        <w:t>5</w:t>
      </w:r>
      <w:r w:rsidR="004A43C0">
        <w:t>082</w:t>
      </w:r>
      <w:r w:rsidR="00F06A33">
        <w:t>, which approved the Database for Energy Efficient Resources (DEER)</w:t>
      </w:r>
      <w:r w:rsidR="00F06A33" w:rsidRPr="00F06A33">
        <w:t xml:space="preserve"> </w:t>
      </w:r>
      <w:r w:rsidR="00F06A33">
        <w:t>for 2</w:t>
      </w:r>
      <w:r w:rsidR="00563F13">
        <w:t>02</w:t>
      </w:r>
      <w:r w:rsidR="004A43C0">
        <w:t>2</w:t>
      </w:r>
      <w:r w:rsidR="00F06A33">
        <w:t xml:space="preserve">. </w:t>
      </w:r>
      <w:r w:rsidR="00CC6501">
        <w:t>This NTG value is based upon results presented in the 201</w:t>
      </w:r>
      <w:r w:rsidR="005C7D6F">
        <w:t>8</w:t>
      </w:r>
      <w:r w:rsidR="00CC6501">
        <w:t xml:space="preserve"> Upstream HVAC Programs.</w:t>
      </w:r>
      <w:r w:rsidR="00CC6501">
        <w:rPr>
          <w:rStyle w:val="FootnoteReference"/>
        </w:rPr>
        <w:footnoteReference w:id="6"/>
      </w:r>
    </w:p>
    <w:p w14:paraId="35F0D1D7" w14:textId="24671F7C" w:rsidR="00F60164" w:rsidRPr="00316CC9" w:rsidRDefault="00F60164" w:rsidP="00CC6501">
      <w:pPr>
        <w:rPr>
          <w:b/>
          <w:sz w:val="20"/>
        </w:rPr>
      </w:pPr>
      <w:r w:rsidRPr="00316CC9">
        <w:rPr>
          <w:b/>
          <w:sz w:val="20"/>
        </w:rPr>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165"/>
        <w:gridCol w:w="1440"/>
        <w:gridCol w:w="3930"/>
      </w:tblGrid>
      <w:tr w:rsidR="00AA3E2A" w:rsidRPr="0059426D" w14:paraId="0D2B92AF" w14:textId="662FBAEE" w:rsidTr="00AF3478">
        <w:trPr>
          <w:cantSplit/>
          <w:trHeight w:val="20"/>
        </w:trPr>
        <w:tc>
          <w:tcPr>
            <w:tcW w:w="416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44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393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713E15" w:rsidRPr="00F06A33" w14:paraId="682BF062" w14:textId="72E696E9" w:rsidTr="00AF3478">
        <w:trPr>
          <w:cantSplit/>
          <w:trHeight w:val="20"/>
        </w:trPr>
        <w:tc>
          <w:tcPr>
            <w:tcW w:w="4165" w:type="dxa"/>
            <w:vAlign w:val="center"/>
          </w:tcPr>
          <w:p w14:paraId="4538E200" w14:textId="77777777" w:rsidR="00CB066D" w:rsidRDefault="006401BC" w:rsidP="00713E15">
            <w:pPr>
              <w:keepNext/>
              <w:keepLines/>
              <w:spacing w:before="0" w:after="0" w:line="200" w:lineRule="atLeast"/>
              <w:rPr>
                <w:rFonts w:cstheme="minorHAnsi"/>
                <w:sz w:val="20"/>
                <w:szCs w:val="20"/>
              </w:rPr>
            </w:pPr>
            <w:r w:rsidRPr="00177EB6">
              <w:rPr>
                <w:rFonts w:cs="Arial"/>
                <w:color w:val="000000"/>
                <w:sz w:val="20"/>
                <w:szCs w:val="20"/>
              </w:rPr>
              <w:t>NTG</w:t>
            </w:r>
            <w:r>
              <w:rPr>
                <w:rFonts w:cs="Arial"/>
                <w:color w:val="000000"/>
                <w:sz w:val="20"/>
                <w:szCs w:val="20"/>
              </w:rPr>
              <w:t xml:space="preserve"> - </w:t>
            </w:r>
            <w:r w:rsidR="00BE766F" w:rsidRPr="00BE766F">
              <w:rPr>
                <w:rFonts w:cstheme="minorHAnsi"/>
                <w:sz w:val="20"/>
                <w:szCs w:val="20"/>
              </w:rPr>
              <w:t>Nonresidential rooftop and split system HVAC upgrades</w:t>
            </w:r>
            <w:r w:rsidR="00F86D9E">
              <w:rPr>
                <w:rFonts w:cstheme="minorHAnsi"/>
                <w:sz w:val="20"/>
                <w:szCs w:val="20"/>
              </w:rPr>
              <w:t xml:space="preserve"> </w:t>
            </w:r>
          </w:p>
          <w:p w14:paraId="5BA6FA92" w14:textId="513BD5AE" w:rsidR="00713E15" w:rsidRPr="00177EB6" w:rsidRDefault="00F86D9E" w:rsidP="00713E15">
            <w:pPr>
              <w:keepNext/>
              <w:keepLines/>
              <w:spacing w:before="0" w:after="0" w:line="200" w:lineRule="atLeast"/>
              <w:rPr>
                <w:rFonts w:cstheme="minorHAnsi"/>
                <w:sz w:val="20"/>
                <w:szCs w:val="20"/>
              </w:rPr>
            </w:pPr>
            <w:r>
              <w:rPr>
                <w:rFonts w:cstheme="minorHAnsi"/>
                <w:sz w:val="20"/>
                <w:szCs w:val="20"/>
              </w:rPr>
              <w:t>(</w:t>
            </w:r>
            <w:proofErr w:type="spellStart"/>
            <w:r w:rsidR="00CB066D" w:rsidRPr="00CB066D">
              <w:rPr>
                <w:rFonts w:cstheme="minorHAnsi"/>
                <w:i/>
                <w:iCs/>
                <w:sz w:val="20"/>
                <w:szCs w:val="20"/>
              </w:rPr>
              <w:t>NonRes</w:t>
            </w:r>
            <w:proofErr w:type="spellEnd"/>
            <w:r w:rsidR="00CB066D" w:rsidRPr="00CB066D">
              <w:rPr>
                <w:rFonts w:cstheme="minorHAnsi"/>
                <w:i/>
                <w:iCs/>
                <w:sz w:val="20"/>
                <w:szCs w:val="20"/>
              </w:rPr>
              <w:t>-</w:t>
            </w:r>
            <w:proofErr w:type="spellStart"/>
            <w:r w:rsidR="00CB066D" w:rsidRPr="00CB066D">
              <w:rPr>
                <w:rFonts w:cstheme="minorHAnsi"/>
                <w:i/>
                <w:iCs/>
                <w:sz w:val="20"/>
                <w:szCs w:val="20"/>
              </w:rPr>
              <w:t>sAll</w:t>
            </w:r>
            <w:proofErr w:type="spellEnd"/>
            <w:r w:rsidR="00CB066D" w:rsidRPr="00CB066D">
              <w:rPr>
                <w:rFonts w:cstheme="minorHAnsi"/>
                <w:i/>
                <w:iCs/>
                <w:sz w:val="20"/>
                <w:szCs w:val="20"/>
              </w:rPr>
              <w:t>-</w:t>
            </w:r>
            <w:proofErr w:type="spellStart"/>
            <w:r w:rsidR="00CB066D" w:rsidRPr="00CB066D">
              <w:rPr>
                <w:rFonts w:cstheme="minorHAnsi"/>
                <w:i/>
                <w:iCs/>
                <w:sz w:val="20"/>
                <w:szCs w:val="20"/>
              </w:rPr>
              <w:t>mHVAC</w:t>
            </w:r>
            <w:proofErr w:type="spellEnd"/>
            <w:r w:rsidR="00CB066D" w:rsidRPr="00CB066D">
              <w:rPr>
                <w:rFonts w:cstheme="minorHAnsi"/>
                <w:i/>
                <w:iCs/>
                <w:sz w:val="20"/>
                <w:szCs w:val="20"/>
              </w:rPr>
              <w:t>-RTU-</w:t>
            </w:r>
            <w:proofErr w:type="spellStart"/>
            <w:r w:rsidR="00CB066D" w:rsidRPr="00CB066D">
              <w:rPr>
                <w:rFonts w:cstheme="minorHAnsi"/>
                <w:i/>
                <w:iCs/>
                <w:sz w:val="20"/>
                <w:szCs w:val="20"/>
              </w:rPr>
              <w:t>SplitSys</w:t>
            </w:r>
            <w:proofErr w:type="spellEnd"/>
            <w:r w:rsidR="00CB066D">
              <w:rPr>
                <w:rFonts w:cstheme="minorHAnsi"/>
                <w:sz w:val="20"/>
                <w:szCs w:val="20"/>
              </w:rPr>
              <w:t>)</w:t>
            </w:r>
          </w:p>
        </w:tc>
        <w:tc>
          <w:tcPr>
            <w:tcW w:w="1440" w:type="dxa"/>
            <w:shd w:val="clear" w:color="auto" w:fill="auto"/>
            <w:noWrap/>
            <w:vAlign w:val="center"/>
          </w:tcPr>
          <w:p w14:paraId="6D6A55B5" w14:textId="7D77B119" w:rsidR="00713E15" w:rsidRDefault="006401BC" w:rsidP="00713E15">
            <w:pPr>
              <w:keepNext/>
              <w:keepLines/>
              <w:spacing w:before="0" w:after="0" w:line="200" w:lineRule="atLeast"/>
              <w:jc w:val="center"/>
              <w:rPr>
                <w:sz w:val="20"/>
                <w:szCs w:val="20"/>
              </w:rPr>
            </w:pPr>
            <w:r>
              <w:rPr>
                <w:sz w:val="20"/>
                <w:szCs w:val="20"/>
              </w:rPr>
              <w:t>0.</w:t>
            </w:r>
            <w:r w:rsidR="005A410A">
              <w:rPr>
                <w:sz w:val="20"/>
                <w:szCs w:val="20"/>
              </w:rPr>
              <w:t>5</w:t>
            </w:r>
            <w:r w:rsidR="00B33F08">
              <w:rPr>
                <w:sz w:val="20"/>
                <w:szCs w:val="20"/>
              </w:rPr>
              <w:t xml:space="preserve"> </w:t>
            </w:r>
            <w:r w:rsidR="001F0BC0">
              <w:rPr>
                <w:sz w:val="20"/>
                <w:szCs w:val="20"/>
              </w:rPr>
              <w:t>(</w:t>
            </w:r>
            <w:r w:rsidR="0061591D">
              <w:rPr>
                <w:sz w:val="20"/>
                <w:szCs w:val="20"/>
              </w:rPr>
              <w:t>E</w:t>
            </w:r>
            <w:r w:rsidR="001F0BC0">
              <w:rPr>
                <w:sz w:val="20"/>
                <w:szCs w:val="20"/>
              </w:rPr>
              <w:t>lectric)</w:t>
            </w:r>
          </w:p>
          <w:p w14:paraId="62F18FF1" w14:textId="5A510AA9" w:rsidR="001F0BC0" w:rsidRPr="00713E15" w:rsidRDefault="001F0BC0" w:rsidP="00713E15">
            <w:pPr>
              <w:keepNext/>
              <w:keepLines/>
              <w:spacing w:before="0" w:after="0" w:line="200" w:lineRule="atLeast"/>
              <w:jc w:val="center"/>
              <w:rPr>
                <w:sz w:val="20"/>
                <w:szCs w:val="20"/>
              </w:rPr>
            </w:pPr>
            <w:r>
              <w:rPr>
                <w:sz w:val="20"/>
                <w:szCs w:val="20"/>
              </w:rPr>
              <w:t>0.6 (</w:t>
            </w:r>
            <w:r w:rsidR="0061591D">
              <w:rPr>
                <w:sz w:val="20"/>
                <w:szCs w:val="20"/>
              </w:rPr>
              <w:t>G</w:t>
            </w:r>
            <w:r>
              <w:rPr>
                <w:sz w:val="20"/>
                <w:szCs w:val="20"/>
              </w:rPr>
              <w:t xml:space="preserve">as) </w:t>
            </w:r>
          </w:p>
        </w:tc>
        <w:tc>
          <w:tcPr>
            <w:tcW w:w="3930" w:type="dxa"/>
            <w:vAlign w:val="center"/>
          </w:tcPr>
          <w:p w14:paraId="133857EB" w14:textId="1FD4E99D" w:rsidR="00713E15" w:rsidRPr="00F06A33" w:rsidRDefault="00F06A33" w:rsidP="00F06A33">
            <w:pPr>
              <w:keepNext/>
              <w:keepLines/>
              <w:spacing w:before="0" w:after="0" w:line="200" w:lineRule="atLeast"/>
              <w:rPr>
                <w:color w:val="FF0000"/>
                <w:sz w:val="18"/>
                <w:szCs w:val="18"/>
                <w:highlight w:val="yellow"/>
              </w:rPr>
            </w:pPr>
            <w:r w:rsidRPr="00F06A33">
              <w:rPr>
                <w:sz w:val="18"/>
                <w:szCs w:val="18"/>
              </w:rPr>
              <w:t>California Public Utilities Commission (CPUC). 20</w:t>
            </w:r>
            <w:r w:rsidR="00072BB5">
              <w:rPr>
                <w:sz w:val="18"/>
                <w:szCs w:val="18"/>
              </w:rPr>
              <w:t>20</w:t>
            </w:r>
            <w:r w:rsidRPr="00F06A33">
              <w:rPr>
                <w:sz w:val="18"/>
                <w:szCs w:val="18"/>
              </w:rPr>
              <w:t xml:space="preserve">. </w:t>
            </w:r>
            <w:r w:rsidRPr="00F06A33">
              <w:rPr>
                <w:rStyle w:val="Emphasis"/>
                <w:sz w:val="18"/>
                <w:szCs w:val="18"/>
              </w:rPr>
              <w:t xml:space="preserve">Resolution </w:t>
            </w:r>
            <w:r w:rsidR="00072BB5">
              <w:rPr>
                <w:rStyle w:val="Emphasis"/>
                <w:sz w:val="18"/>
                <w:szCs w:val="18"/>
              </w:rPr>
              <w:t>E</w:t>
            </w:r>
            <w:r w:rsidRPr="00F06A33">
              <w:rPr>
                <w:rStyle w:val="Emphasis"/>
                <w:sz w:val="18"/>
                <w:szCs w:val="18"/>
              </w:rPr>
              <w:t>-</w:t>
            </w:r>
            <w:r w:rsidR="00563F13">
              <w:rPr>
                <w:rStyle w:val="Emphasis"/>
                <w:sz w:val="18"/>
                <w:szCs w:val="18"/>
              </w:rPr>
              <w:t>5</w:t>
            </w:r>
            <w:r w:rsidR="00072BB5">
              <w:rPr>
                <w:rStyle w:val="Emphasis"/>
                <w:sz w:val="18"/>
                <w:szCs w:val="18"/>
              </w:rPr>
              <w:t>08</w:t>
            </w:r>
            <w:r w:rsidR="00563F13">
              <w:rPr>
                <w:rStyle w:val="Emphasis"/>
                <w:sz w:val="18"/>
                <w:szCs w:val="18"/>
              </w:rPr>
              <w:t>2</w:t>
            </w:r>
            <w:r w:rsidRPr="00F06A33">
              <w:rPr>
                <w:sz w:val="18"/>
                <w:szCs w:val="18"/>
              </w:rPr>
              <w:t xml:space="preserve">. </w:t>
            </w:r>
            <w:r w:rsidR="00072BB5">
              <w:rPr>
                <w:sz w:val="18"/>
                <w:szCs w:val="18"/>
              </w:rPr>
              <w:t>August</w:t>
            </w:r>
            <w:r w:rsidR="00A62E7B">
              <w:rPr>
                <w:sz w:val="18"/>
                <w:szCs w:val="18"/>
              </w:rPr>
              <w:t xml:space="preserve"> 27</w:t>
            </w:r>
            <w:r w:rsidRPr="00F06A33">
              <w:rPr>
                <w:sz w:val="18"/>
                <w:szCs w:val="18"/>
              </w:rPr>
              <w:t>.</w:t>
            </w:r>
            <w:r>
              <w:rPr>
                <w:sz w:val="18"/>
                <w:szCs w:val="18"/>
              </w:rPr>
              <w:t xml:space="preserve"> Page </w:t>
            </w:r>
            <w:r w:rsidR="00446053">
              <w:rPr>
                <w:sz w:val="18"/>
                <w:szCs w:val="18"/>
              </w:rPr>
              <w:t>A-49</w:t>
            </w:r>
            <w:r>
              <w:rPr>
                <w:sz w:val="18"/>
                <w:szCs w:val="18"/>
              </w:rPr>
              <w:t xml:space="preserve">, Table </w:t>
            </w:r>
            <w:r w:rsidR="007864C8">
              <w:rPr>
                <w:sz w:val="18"/>
                <w:szCs w:val="18"/>
              </w:rPr>
              <w:t>A-2</w:t>
            </w:r>
            <w:r>
              <w:rPr>
                <w:sz w:val="18"/>
                <w:szCs w:val="18"/>
              </w:rPr>
              <w:t>.</w:t>
            </w:r>
            <w:r w:rsidR="0063231A">
              <w:rPr>
                <w:sz w:val="18"/>
                <w:szCs w:val="18"/>
              </w:rPr>
              <w:t xml:space="preserve"> READI tool v2.5.1 </w:t>
            </w:r>
            <w:r w:rsidR="00F86D9E">
              <w:rPr>
                <w:sz w:val="18"/>
                <w:szCs w:val="18"/>
              </w:rPr>
              <w:t>NTG Ratio (2020)</w:t>
            </w:r>
            <w:r>
              <w:rPr>
                <w:sz w:val="18"/>
                <w:szCs w:val="18"/>
              </w:rPr>
              <w:t xml:space="preserve"> </w:t>
            </w:r>
          </w:p>
        </w:tc>
      </w:tr>
    </w:tbl>
    <w:p w14:paraId="6ECC6493" w14:textId="77777777" w:rsidR="007D230B" w:rsidRPr="004B06E3" w:rsidRDefault="007D230B" w:rsidP="004142EF"/>
    <w:p w14:paraId="323B5B02" w14:textId="4C4B13DC" w:rsidR="007D230B" w:rsidRPr="004B06E3" w:rsidRDefault="00D02C36" w:rsidP="00462BB6">
      <w:pPr>
        <w:pStyle w:val="eTRMHeading3"/>
      </w:pPr>
      <w:bookmarkStart w:id="71" w:name="_Toc486490864"/>
      <w:bookmarkStart w:id="72" w:name="_Toc486580935"/>
      <w:bookmarkStart w:id="73" w:name="_Toc20997212"/>
      <w:bookmarkStart w:id="74" w:name="_Hlk517814871"/>
      <w:r>
        <w:t>Gross Savings Installation Adjustment (</w:t>
      </w:r>
      <w:r w:rsidR="007D230B" w:rsidRPr="004B06E3">
        <w:t>GSIA</w:t>
      </w:r>
      <w:bookmarkEnd w:id="71"/>
      <w:bookmarkEnd w:id="72"/>
      <w:r>
        <w:t>)</w:t>
      </w:r>
      <w:bookmarkEnd w:id="73"/>
    </w:p>
    <w:p w14:paraId="123E5D2D" w14:textId="04454827" w:rsidR="008B4F79" w:rsidRDefault="004F1162" w:rsidP="008B4F79">
      <w:bookmarkStart w:id="75" w:name="_Hlk517814854"/>
      <w:bookmarkEnd w:id="74"/>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w:t>
      </w:r>
      <w:r w:rsidR="008B4F79" w:rsidRPr="00AD00D3">
        <w:t xml:space="preserve">installations of the measure to the number of claimed installations </w:t>
      </w:r>
      <w:r w:rsidR="008B4F79">
        <w:t>reported</w:t>
      </w:r>
      <w:r w:rsidR="008B4F79" w:rsidRPr="00AD00D3">
        <w:t xml:space="preserve"> by the utility. </w:t>
      </w:r>
      <w:r w:rsidR="008B4F79">
        <w:t>This factor</w:t>
      </w:r>
      <w:r w:rsidR="008B4F79" w:rsidRPr="00AD00D3">
        <w:t xml:space="preserve"> varies by end use, sector, technology, application, and delivery method. </w:t>
      </w:r>
      <w:r w:rsidR="008B4F79">
        <w:t>T</w:t>
      </w:r>
      <w:r w:rsidR="008B4F79" w:rsidRPr="00AD00D3">
        <w:t xml:space="preserve">he </w:t>
      </w:r>
      <w:r w:rsidR="008B4F79">
        <w:t xml:space="preserve">assigned GSIA </w:t>
      </w:r>
      <w:r w:rsidR="008B4F79" w:rsidRPr="00AD00D3">
        <w:t xml:space="preserve">value </w:t>
      </w:r>
      <w:r w:rsidR="008B4F79">
        <w:t xml:space="preserve">for this measure </w:t>
      </w:r>
      <w:r w:rsidR="008B4F79" w:rsidRPr="00AD00D3">
        <w:t xml:space="preserve">is </w:t>
      </w:r>
      <w:r w:rsidR="008B4F79">
        <w:t xml:space="preserve">specified </w:t>
      </w:r>
      <w:r w:rsidR="00A91CE8">
        <w:t>below</w:t>
      </w:r>
      <w:r w:rsidR="008B4F79" w:rsidRPr="00B83999">
        <w:t>.</w:t>
      </w:r>
      <w:r w:rsidR="008B4F79">
        <w:t xml:space="preserve"> This GSIA rate is the current “default” rate specified for measures for which an alternative GSIA has not been estimated and approved.</w:t>
      </w:r>
    </w:p>
    <w:p w14:paraId="24ED0FBC" w14:textId="7B83BC17" w:rsidR="00796ED9" w:rsidRDefault="00796ED9" w:rsidP="00796ED9">
      <w:pPr>
        <w:pStyle w:val="Caption"/>
      </w:pPr>
      <w:r w:rsidRPr="00EB22C7">
        <w:t>Gross Savings Installation Adjustment Rates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8B4F79" w:rsidRPr="00052C24" w14:paraId="06CBAF60" w14:textId="77777777" w:rsidTr="00556261">
        <w:tc>
          <w:tcPr>
            <w:tcW w:w="2190" w:type="dxa"/>
            <w:shd w:val="clear" w:color="auto" w:fill="F2F2F2" w:themeFill="background1" w:themeFillShade="F2"/>
            <w:vAlign w:val="bottom"/>
          </w:tcPr>
          <w:p w14:paraId="1366508E" w14:textId="77777777" w:rsidR="008B4F79" w:rsidRPr="00052C24" w:rsidRDefault="008B4F79" w:rsidP="00556261">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572D0391" w14:textId="77777777" w:rsidR="008B4F79" w:rsidRPr="00052C24" w:rsidRDefault="008B4F79" w:rsidP="00556261">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74EEC36A" w14:textId="77777777" w:rsidR="008B4F79" w:rsidRDefault="008B4F79" w:rsidP="00556261">
            <w:pPr>
              <w:keepNext/>
              <w:keepLines/>
              <w:spacing w:before="0" w:after="0" w:line="200" w:lineRule="atLeast"/>
              <w:jc w:val="center"/>
              <w:rPr>
                <w:b/>
                <w:sz w:val="20"/>
              </w:rPr>
            </w:pPr>
            <w:r>
              <w:rPr>
                <w:b/>
                <w:sz w:val="20"/>
              </w:rPr>
              <w:t>Source</w:t>
            </w:r>
          </w:p>
        </w:tc>
      </w:tr>
      <w:tr w:rsidR="008B4F79" w:rsidRPr="009062D0" w14:paraId="36B75D91" w14:textId="77777777" w:rsidTr="00556261">
        <w:trPr>
          <w:trHeight w:val="260"/>
        </w:trPr>
        <w:tc>
          <w:tcPr>
            <w:tcW w:w="2190" w:type="dxa"/>
            <w:vAlign w:val="center"/>
          </w:tcPr>
          <w:p w14:paraId="4F139EB6" w14:textId="77777777" w:rsidR="008B4F79" w:rsidRPr="009062D0" w:rsidRDefault="008B4F79" w:rsidP="00556261">
            <w:pPr>
              <w:keepNext/>
              <w:keepLines/>
              <w:spacing w:before="0" w:after="0" w:line="200" w:lineRule="atLeast"/>
              <w:rPr>
                <w:sz w:val="20"/>
              </w:rPr>
            </w:pPr>
            <w:r>
              <w:rPr>
                <w:sz w:val="20"/>
              </w:rPr>
              <w:t>GSIA</w:t>
            </w:r>
          </w:p>
        </w:tc>
        <w:tc>
          <w:tcPr>
            <w:tcW w:w="1620" w:type="dxa"/>
            <w:shd w:val="clear" w:color="auto" w:fill="auto"/>
            <w:vAlign w:val="center"/>
          </w:tcPr>
          <w:p w14:paraId="3EBC85BB" w14:textId="77777777" w:rsidR="008B4F79" w:rsidRPr="00713E15" w:rsidRDefault="008B4F79" w:rsidP="00556261">
            <w:pPr>
              <w:keepNext/>
              <w:keepLines/>
              <w:spacing w:before="0" w:after="0" w:line="200" w:lineRule="atLeast"/>
              <w:jc w:val="center"/>
              <w:rPr>
                <w:sz w:val="20"/>
              </w:rPr>
            </w:pPr>
            <w:r w:rsidRPr="00713E15">
              <w:rPr>
                <w:sz w:val="20"/>
                <w:szCs w:val="20"/>
              </w:rPr>
              <w:t>1.0</w:t>
            </w:r>
          </w:p>
        </w:tc>
        <w:tc>
          <w:tcPr>
            <w:tcW w:w="5640" w:type="dxa"/>
            <w:vAlign w:val="center"/>
          </w:tcPr>
          <w:p w14:paraId="61633A10" w14:textId="77777777" w:rsidR="008B4F79" w:rsidRPr="009062D0" w:rsidRDefault="008B4F79" w:rsidP="0055626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62BB6">
      <w:pPr>
        <w:pStyle w:val="eTRMHeading3"/>
      </w:pPr>
      <w:bookmarkStart w:id="76" w:name="_Toc486490865"/>
      <w:bookmarkStart w:id="77" w:name="_Toc486580936"/>
      <w:bookmarkStart w:id="78" w:name="_Toc20997213"/>
      <w:bookmarkEnd w:id="75"/>
      <w:r w:rsidRPr="004B06E3">
        <w:t xml:space="preserve">Non-Energy </w:t>
      </w:r>
      <w:bookmarkEnd w:id="76"/>
      <w:bookmarkEnd w:id="77"/>
      <w:r w:rsidR="00DA6B7E">
        <w:t>Impacts</w:t>
      </w:r>
      <w:bookmarkEnd w:id="78"/>
    </w:p>
    <w:p w14:paraId="0D73FC70" w14:textId="27339D17" w:rsidR="00697A88" w:rsidRPr="00B558BB" w:rsidRDefault="00697A88" w:rsidP="00697A88">
      <w:pPr>
        <w:rPr>
          <w:rFonts w:cs="Arial"/>
          <w:szCs w:val="20"/>
        </w:rPr>
      </w:pPr>
      <w:r w:rsidRPr="00B558BB">
        <w:rPr>
          <w:rFonts w:cs="Arial"/>
          <w:szCs w:val="20"/>
        </w:rPr>
        <w:t xml:space="preserve">Non-energy benefits for this measure have not been </w:t>
      </w:r>
      <w:r w:rsidR="009D7F4D" w:rsidRPr="00B558BB">
        <w:rPr>
          <w:rFonts w:cs="Arial"/>
          <w:szCs w:val="20"/>
        </w:rPr>
        <w:t>quantified</w:t>
      </w:r>
      <w:r w:rsidRPr="00B558BB">
        <w:rPr>
          <w:rFonts w:cs="Arial"/>
          <w:szCs w:val="20"/>
        </w:rPr>
        <w:t>.</w:t>
      </w:r>
    </w:p>
    <w:p w14:paraId="0C37F289" w14:textId="77777777" w:rsidR="00697A88" w:rsidRDefault="00697A88" w:rsidP="004142EF"/>
    <w:p w14:paraId="7D8551BB" w14:textId="760F7D39" w:rsidR="009C31A4" w:rsidRPr="004B06E3" w:rsidRDefault="009C31A4" w:rsidP="00462BB6">
      <w:pPr>
        <w:pStyle w:val="eTRMHeading3"/>
      </w:pPr>
      <w:bookmarkStart w:id="79" w:name="_Toc20997214"/>
      <w:r>
        <w:t>DEER Differences Analysis</w:t>
      </w:r>
      <w:bookmarkEnd w:id="79"/>
    </w:p>
    <w:p w14:paraId="4EEA8959" w14:textId="7A318975" w:rsidR="004A69A9" w:rsidRDefault="003F21D2" w:rsidP="004A69A9">
      <w:pPr>
        <w:spacing w:line="246" w:lineRule="auto"/>
        <w:ind w:right="60"/>
        <w:rPr>
          <w:rFonts w:ascii="Times New Roman" w:eastAsia="Times New Roman" w:hAnsi="Times New Roman"/>
        </w:rPr>
      </w:pPr>
      <w:bookmarkStart w:id="80" w:name="_Hlk517817253"/>
      <w:r>
        <w:t>This section provides a summary of inputs and methods</w:t>
      </w:r>
      <w:r w:rsidR="00B558BB">
        <w:t xml:space="preserve"> from the Database of Energy Efficient Resources (DEER)</w:t>
      </w:r>
      <w:r>
        <w:t>, and the rationale for inputs and methods that are not DEER-based.</w:t>
      </w:r>
      <w:r w:rsidR="004A69A9">
        <w:t xml:space="preserve"> </w:t>
      </w:r>
    </w:p>
    <w:bookmarkEnd w:id="80"/>
    <w:p w14:paraId="07577967" w14:textId="1F72AA15" w:rsidR="00796ED9" w:rsidRDefault="00796ED9" w:rsidP="00796ED9">
      <w:pPr>
        <w:pStyle w:val="Caption"/>
      </w:pPr>
      <w:r w:rsidRPr="00A80337">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6705F942">
        <w:trPr>
          <w:trHeight w:val="20"/>
          <w:tblHeader/>
        </w:trPr>
        <w:tc>
          <w:tcPr>
            <w:tcW w:w="1730" w:type="pct"/>
            <w:shd w:val="clear" w:color="auto" w:fill="F2F2F2" w:themeFill="background1" w:themeFillShade="F2"/>
          </w:tcPr>
          <w:p w14:paraId="5A1E2CE5" w14:textId="77777777" w:rsidR="00EA057C" w:rsidRPr="00EA057C" w:rsidRDefault="00EA057C" w:rsidP="00713E15">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7CED7A4C" w:rsidR="00EA057C" w:rsidRPr="00EA057C" w:rsidRDefault="00EA057C" w:rsidP="00713E15">
            <w:pPr>
              <w:spacing w:before="20" w:after="20"/>
              <w:rPr>
                <w:rFonts w:cs="Arial"/>
                <w:b/>
                <w:sz w:val="20"/>
                <w:szCs w:val="20"/>
              </w:rPr>
            </w:pPr>
            <w:r>
              <w:rPr>
                <w:rFonts w:cs="Arial"/>
                <w:b/>
                <w:sz w:val="20"/>
                <w:szCs w:val="20"/>
              </w:rPr>
              <w:t xml:space="preserve">Comment </w:t>
            </w:r>
          </w:p>
        </w:tc>
      </w:tr>
      <w:tr w:rsidR="00EA057C" w:rsidRPr="00500C4E" w14:paraId="33003020" w14:textId="77777777" w:rsidTr="6705F942">
        <w:trPr>
          <w:trHeight w:val="20"/>
        </w:trPr>
        <w:tc>
          <w:tcPr>
            <w:tcW w:w="1730" w:type="pct"/>
          </w:tcPr>
          <w:p w14:paraId="1F2D360A" w14:textId="77777777" w:rsidR="00EA057C" w:rsidRPr="00EA057C" w:rsidRDefault="00EA057C" w:rsidP="00713E15">
            <w:pPr>
              <w:spacing w:before="20" w:after="20"/>
              <w:rPr>
                <w:rFonts w:cs="Arial"/>
                <w:sz w:val="20"/>
                <w:szCs w:val="20"/>
              </w:rPr>
            </w:pPr>
            <w:r w:rsidRPr="00EA057C">
              <w:rPr>
                <w:rFonts w:cs="Arial"/>
                <w:sz w:val="20"/>
                <w:szCs w:val="20"/>
              </w:rPr>
              <w:t>Modified DEER methodology</w:t>
            </w:r>
          </w:p>
        </w:tc>
        <w:tc>
          <w:tcPr>
            <w:tcW w:w="3270" w:type="pct"/>
          </w:tcPr>
          <w:p w14:paraId="247EE411" w14:textId="58E85F25" w:rsidR="00EA057C" w:rsidRPr="0007565C" w:rsidRDefault="006401BC" w:rsidP="00713E15">
            <w:pPr>
              <w:spacing w:before="20" w:after="20"/>
              <w:rPr>
                <w:rFonts w:cs="Arial"/>
                <w:sz w:val="20"/>
                <w:szCs w:val="20"/>
              </w:rPr>
            </w:pPr>
            <w:r>
              <w:rPr>
                <w:rFonts w:cs="Arial"/>
                <w:sz w:val="20"/>
                <w:szCs w:val="20"/>
              </w:rPr>
              <w:t>No</w:t>
            </w:r>
          </w:p>
        </w:tc>
      </w:tr>
      <w:tr w:rsidR="00EA057C" w:rsidRPr="00500C4E" w14:paraId="507422EA" w14:textId="77777777" w:rsidTr="6705F942">
        <w:trPr>
          <w:trHeight w:val="20"/>
        </w:trPr>
        <w:tc>
          <w:tcPr>
            <w:tcW w:w="1730" w:type="pct"/>
          </w:tcPr>
          <w:p w14:paraId="29430E33" w14:textId="77777777" w:rsidR="00EA057C" w:rsidRPr="00EA057C" w:rsidRDefault="00EA057C" w:rsidP="00713E15">
            <w:pPr>
              <w:spacing w:before="20" w:after="20"/>
              <w:rPr>
                <w:rFonts w:cs="Arial"/>
                <w:sz w:val="20"/>
                <w:szCs w:val="20"/>
              </w:rPr>
            </w:pPr>
            <w:r w:rsidRPr="00EA057C">
              <w:rPr>
                <w:rFonts w:cs="Arial"/>
                <w:sz w:val="20"/>
                <w:szCs w:val="20"/>
              </w:rPr>
              <w:lastRenderedPageBreak/>
              <w:t>Scaled DEER measure</w:t>
            </w:r>
          </w:p>
        </w:tc>
        <w:tc>
          <w:tcPr>
            <w:tcW w:w="3270" w:type="pct"/>
          </w:tcPr>
          <w:p w14:paraId="0C847473" w14:textId="3913F815" w:rsidR="00EA057C" w:rsidRPr="0007565C" w:rsidRDefault="0007565C" w:rsidP="00713E15">
            <w:pPr>
              <w:spacing w:before="20" w:after="20"/>
              <w:rPr>
                <w:rFonts w:cs="Arial"/>
                <w:sz w:val="20"/>
                <w:szCs w:val="20"/>
              </w:rPr>
            </w:pPr>
            <w:r w:rsidRPr="0007565C">
              <w:rPr>
                <w:rFonts w:cs="Arial"/>
                <w:sz w:val="20"/>
                <w:szCs w:val="20"/>
              </w:rPr>
              <w:t>No</w:t>
            </w:r>
          </w:p>
        </w:tc>
      </w:tr>
      <w:tr w:rsidR="00EA057C" w:rsidRPr="00500C4E" w14:paraId="335CDE40" w14:textId="77777777" w:rsidTr="6705F942">
        <w:trPr>
          <w:trHeight w:val="20"/>
        </w:trPr>
        <w:tc>
          <w:tcPr>
            <w:tcW w:w="1730" w:type="pct"/>
          </w:tcPr>
          <w:p w14:paraId="126C3B42" w14:textId="77777777" w:rsidR="00EA057C" w:rsidRPr="00EA057C" w:rsidRDefault="00EA057C" w:rsidP="00713E15">
            <w:pPr>
              <w:spacing w:before="20" w:after="20"/>
              <w:rPr>
                <w:rFonts w:cs="Arial"/>
                <w:sz w:val="20"/>
                <w:szCs w:val="20"/>
              </w:rPr>
            </w:pPr>
            <w:r w:rsidRPr="00EA057C">
              <w:rPr>
                <w:rFonts w:cs="Arial"/>
                <w:sz w:val="20"/>
                <w:szCs w:val="20"/>
              </w:rPr>
              <w:t>DEER Base Case</w:t>
            </w:r>
          </w:p>
        </w:tc>
        <w:tc>
          <w:tcPr>
            <w:tcW w:w="3270" w:type="pct"/>
          </w:tcPr>
          <w:p w14:paraId="5D2A1B0E" w14:textId="6596F89D" w:rsidR="00EA057C" w:rsidRPr="0007565C" w:rsidRDefault="006401BC" w:rsidP="00713E15">
            <w:pPr>
              <w:spacing w:before="20" w:after="20"/>
              <w:rPr>
                <w:rFonts w:cs="Arial"/>
                <w:sz w:val="20"/>
                <w:szCs w:val="20"/>
              </w:rPr>
            </w:pPr>
            <w:r>
              <w:rPr>
                <w:rFonts w:cs="Arial"/>
                <w:sz w:val="20"/>
                <w:szCs w:val="20"/>
              </w:rPr>
              <w:t>Yes</w:t>
            </w:r>
          </w:p>
        </w:tc>
      </w:tr>
      <w:tr w:rsidR="00EA057C" w:rsidRPr="00500C4E" w14:paraId="1F8399E1" w14:textId="77777777" w:rsidTr="6705F942">
        <w:trPr>
          <w:trHeight w:val="20"/>
        </w:trPr>
        <w:tc>
          <w:tcPr>
            <w:tcW w:w="1730" w:type="pct"/>
          </w:tcPr>
          <w:p w14:paraId="0CC701E3" w14:textId="77777777" w:rsidR="00EA057C" w:rsidRPr="00EA057C" w:rsidRDefault="00EA057C" w:rsidP="00713E15">
            <w:pPr>
              <w:spacing w:before="20" w:after="20"/>
              <w:rPr>
                <w:rFonts w:cs="Arial"/>
                <w:sz w:val="20"/>
                <w:szCs w:val="20"/>
              </w:rPr>
            </w:pPr>
            <w:r w:rsidRPr="00EA057C">
              <w:rPr>
                <w:rFonts w:cs="Arial"/>
                <w:sz w:val="20"/>
                <w:szCs w:val="20"/>
              </w:rPr>
              <w:t>DEER Measure Case</w:t>
            </w:r>
          </w:p>
        </w:tc>
        <w:tc>
          <w:tcPr>
            <w:tcW w:w="3270" w:type="pct"/>
          </w:tcPr>
          <w:p w14:paraId="49A023A0" w14:textId="6BCC87A2" w:rsidR="00EA057C" w:rsidRPr="0007565C" w:rsidRDefault="006401BC" w:rsidP="00713E15">
            <w:pPr>
              <w:spacing w:before="20" w:after="20"/>
              <w:rPr>
                <w:rFonts w:cs="Arial"/>
                <w:sz w:val="20"/>
                <w:szCs w:val="20"/>
              </w:rPr>
            </w:pPr>
            <w:r>
              <w:rPr>
                <w:rFonts w:cs="Arial"/>
                <w:sz w:val="20"/>
                <w:szCs w:val="20"/>
              </w:rPr>
              <w:t>Yes</w:t>
            </w:r>
          </w:p>
        </w:tc>
      </w:tr>
      <w:tr w:rsidR="00EA057C" w:rsidRPr="00500C4E" w14:paraId="663742C6" w14:textId="77777777" w:rsidTr="6705F942">
        <w:trPr>
          <w:trHeight w:val="20"/>
        </w:trPr>
        <w:tc>
          <w:tcPr>
            <w:tcW w:w="1730" w:type="pct"/>
          </w:tcPr>
          <w:p w14:paraId="16B2FDAB" w14:textId="77777777" w:rsidR="00EA057C" w:rsidRPr="00EA057C" w:rsidRDefault="00EA057C" w:rsidP="00713E15">
            <w:pPr>
              <w:spacing w:before="20" w:after="20"/>
              <w:rPr>
                <w:rFonts w:cs="Arial"/>
                <w:sz w:val="20"/>
                <w:szCs w:val="20"/>
              </w:rPr>
            </w:pPr>
            <w:r w:rsidRPr="00EA057C">
              <w:rPr>
                <w:rFonts w:cs="Arial"/>
                <w:sz w:val="20"/>
                <w:szCs w:val="20"/>
              </w:rPr>
              <w:t>DEER Building Types</w:t>
            </w:r>
          </w:p>
        </w:tc>
        <w:tc>
          <w:tcPr>
            <w:tcW w:w="3270" w:type="pct"/>
          </w:tcPr>
          <w:p w14:paraId="6BBA540C" w14:textId="207C4192" w:rsidR="00EA057C" w:rsidRPr="0007565C" w:rsidRDefault="006401BC" w:rsidP="00713E15">
            <w:pPr>
              <w:spacing w:before="20" w:after="20"/>
              <w:rPr>
                <w:rFonts w:cs="Arial"/>
                <w:sz w:val="20"/>
                <w:szCs w:val="20"/>
              </w:rPr>
            </w:pPr>
            <w:r>
              <w:rPr>
                <w:rFonts w:cs="Arial"/>
                <w:sz w:val="20"/>
                <w:szCs w:val="20"/>
              </w:rPr>
              <w:t>Yes</w:t>
            </w:r>
          </w:p>
        </w:tc>
      </w:tr>
      <w:tr w:rsidR="0007565C" w:rsidRPr="00500C4E" w14:paraId="424F1325" w14:textId="77777777" w:rsidTr="6705F942">
        <w:trPr>
          <w:trHeight w:val="20"/>
        </w:trPr>
        <w:tc>
          <w:tcPr>
            <w:tcW w:w="1730" w:type="pct"/>
          </w:tcPr>
          <w:p w14:paraId="71098DDA" w14:textId="77777777" w:rsidR="0007565C" w:rsidRPr="00EA057C" w:rsidRDefault="0007565C" w:rsidP="00713E15">
            <w:pPr>
              <w:spacing w:before="20" w:after="20"/>
              <w:rPr>
                <w:rFonts w:cs="Arial"/>
                <w:sz w:val="20"/>
                <w:szCs w:val="20"/>
              </w:rPr>
            </w:pPr>
            <w:r w:rsidRPr="00EA057C">
              <w:rPr>
                <w:rFonts w:cs="Arial"/>
                <w:sz w:val="20"/>
                <w:szCs w:val="20"/>
              </w:rPr>
              <w:t>DEER Operating Hours</w:t>
            </w:r>
          </w:p>
        </w:tc>
        <w:tc>
          <w:tcPr>
            <w:tcW w:w="3270" w:type="pct"/>
          </w:tcPr>
          <w:p w14:paraId="1693E1EE" w14:textId="7AF14327" w:rsidR="0007565C" w:rsidRPr="0007565C" w:rsidRDefault="006401BC" w:rsidP="00713E15">
            <w:pPr>
              <w:spacing w:before="20" w:after="20"/>
              <w:rPr>
                <w:rFonts w:cs="Arial"/>
                <w:sz w:val="20"/>
                <w:szCs w:val="20"/>
              </w:rPr>
            </w:pPr>
            <w:r>
              <w:rPr>
                <w:rFonts w:cs="Arial"/>
                <w:sz w:val="20"/>
                <w:szCs w:val="20"/>
              </w:rPr>
              <w:t>Yes</w:t>
            </w:r>
          </w:p>
        </w:tc>
      </w:tr>
      <w:tr w:rsidR="0007565C" w:rsidRPr="00500C4E" w14:paraId="0B93AD47" w14:textId="77777777" w:rsidTr="6705F942">
        <w:trPr>
          <w:trHeight w:val="20"/>
        </w:trPr>
        <w:tc>
          <w:tcPr>
            <w:tcW w:w="1730" w:type="pct"/>
          </w:tcPr>
          <w:p w14:paraId="6E9E484F" w14:textId="77777777" w:rsidR="0007565C" w:rsidRPr="00EA057C" w:rsidRDefault="0007565C" w:rsidP="00713E15">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338F5568" w:rsidR="0007565C" w:rsidRPr="0007565C" w:rsidDel="00505CEC" w:rsidRDefault="0007565C" w:rsidP="00713E15">
            <w:pPr>
              <w:spacing w:before="20" w:after="20"/>
              <w:rPr>
                <w:rFonts w:cs="Arial"/>
                <w:sz w:val="20"/>
                <w:szCs w:val="20"/>
              </w:rPr>
            </w:pPr>
            <w:r w:rsidRPr="0007565C">
              <w:rPr>
                <w:rFonts w:cs="Arial"/>
                <w:sz w:val="20"/>
                <w:szCs w:val="20"/>
              </w:rPr>
              <w:t>No</w:t>
            </w:r>
          </w:p>
        </w:tc>
      </w:tr>
      <w:tr w:rsidR="0007565C" w:rsidRPr="00500C4E" w14:paraId="2CFDE9D3" w14:textId="77777777" w:rsidTr="6705F942">
        <w:trPr>
          <w:trHeight w:val="180"/>
        </w:trPr>
        <w:tc>
          <w:tcPr>
            <w:tcW w:w="1730" w:type="pct"/>
          </w:tcPr>
          <w:p w14:paraId="3B6B3E22" w14:textId="77777777" w:rsidR="0007565C" w:rsidRPr="00EA057C" w:rsidRDefault="0007565C" w:rsidP="00713E15">
            <w:pPr>
              <w:spacing w:before="20" w:after="20"/>
              <w:rPr>
                <w:rFonts w:cs="Arial"/>
                <w:sz w:val="20"/>
                <w:szCs w:val="20"/>
              </w:rPr>
            </w:pPr>
            <w:r w:rsidRPr="00EA057C">
              <w:rPr>
                <w:rFonts w:cs="Arial"/>
                <w:sz w:val="20"/>
                <w:szCs w:val="20"/>
              </w:rPr>
              <w:t>DEER Version</w:t>
            </w:r>
          </w:p>
        </w:tc>
        <w:tc>
          <w:tcPr>
            <w:tcW w:w="3270" w:type="pct"/>
          </w:tcPr>
          <w:p w14:paraId="1C3B60D1" w14:textId="31683298" w:rsidR="0007565C" w:rsidRPr="0007565C" w:rsidRDefault="00BF2FA4" w:rsidP="006401BC">
            <w:pPr>
              <w:spacing w:before="20" w:after="20"/>
              <w:rPr>
                <w:rFonts w:cs="Arial"/>
                <w:sz w:val="20"/>
                <w:szCs w:val="20"/>
              </w:rPr>
            </w:pPr>
            <w:r>
              <w:rPr>
                <w:rFonts w:cs="Arial"/>
                <w:sz w:val="20"/>
                <w:szCs w:val="20"/>
              </w:rPr>
              <w:t>DEER2020</w:t>
            </w:r>
          </w:p>
        </w:tc>
      </w:tr>
      <w:tr w:rsidR="0007565C" w:rsidRPr="00500C4E" w14:paraId="3B7464D7" w14:textId="77777777" w:rsidTr="6705F942">
        <w:trPr>
          <w:trHeight w:val="20"/>
        </w:trPr>
        <w:tc>
          <w:tcPr>
            <w:tcW w:w="1730" w:type="pct"/>
          </w:tcPr>
          <w:p w14:paraId="24000A76" w14:textId="77777777" w:rsidR="0007565C" w:rsidRPr="00EA057C" w:rsidRDefault="0007565C" w:rsidP="00713E15">
            <w:pPr>
              <w:spacing w:before="20" w:after="20"/>
              <w:rPr>
                <w:rFonts w:cs="Arial"/>
                <w:sz w:val="20"/>
                <w:szCs w:val="20"/>
              </w:rPr>
            </w:pPr>
            <w:r w:rsidRPr="00EA057C">
              <w:rPr>
                <w:rFonts w:cs="Arial"/>
                <w:sz w:val="20"/>
                <w:szCs w:val="20"/>
              </w:rPr>
              <w:t>Reason for Deviation from DEER</w:t>
            </w:r>
          </w:p>
        </w:tc>
        <w:tc>
          <w:tcPr>
            <w:tcW w:w="3270" w:type="pct"/>
          </w:tcPr>
          <w:p w14:paraId="125AAB90" w14:textId="4324A14D" w:rsidR="0007565C" w:rsidRPr="0007565C" w:rsidRDefault="0007565C" w:rsidP="006401BC">
            <w:pPr>
              <w:spacing w:before="20" w:after="20"/>
              <w:rPr>
                <w:rFonts w:cs="Arial"/>
                <w:color w:val="FF0000"/>
                <w:sz w:val="18"/>
                <w:szCs w:val="20"/>
              </w:rPr>
            </w:pPr>
            <w:r w:rsidRPr="0007565C">
              <w:rPr>
                <w:sz w:val="18"/>
              </w:rPr>
              <w:t>Most of the measure</w:t>
            </w:r>
            <w:r w:rsidR="006401BC">
              <w:rPr>
                <w:sz w:val="18"/>
              </w:rPr>
              <w:t>s</w:t>
            </w:r>
            <w:r w:rsidRPr="0007565C">
              <w:rPr>
                <w:sz w:val="18"/>
              </w:rPr>
              <w:t xml:space="preserve"> are drawn directly from DEER. </w:t>
            </w:r>
            <w:r w:rsidR="00BF2FA4">
              <w:rPr>
                <w:sz w:val="18"/>
              </w:rPr>
              <w:t>DEER2020</w:t>
            </w:r>
            <w:r w:rsidR="00BF2FA4" w:rsidRPr="0007565C">
              <w:rPr>
                <w:sz w:val="18"/>
              </w:rPr>
              <w:t xml:space="preserve"> </w:t>
            </w:r>
            <w:r w:rsidRPr="0007565C">
              <w:rPr>
                <w:sz w:val="18"/>
              </w:rPr>
              <w:t xml:space="preserve">contains measures for up to 18 </w:t>
            </w:r>
            <w:proofErr w:type="gramStart"/>
            <w:r w:rsidRPr="0007565C">
              <w:rPr>
                <w:sz w:val="18"/>
              </w:rPr>
              <w:t>SEER</w:t>
            </w:r>
            <w:proofErr w:type="gramEnd"/>
            <w:r w:rsidRPr="0007565C">
              <w:rPr>
                <w:sz w:val="18"/>
              </w:rPr>
              <w:t xml:space="preserve"> packaged ACs, split system ACs, and split system HPs, and up to 17 SEER packaged HPs. The savings for 17 SEER units were taken for 18 SEER packaged HPs </w:t>
            </w:r>
          </w:p>
        </w:tc>
      </w:tr>
      <w:tr w:rsidR="0007565C" w:rsidRPr="00500C4E" w14:paraId="4A7EE859" w14:textId="77777777" w:rsidTr="6705F942">
        <w:trPr>
          <w:trHeight w:val="20"/>
        </w:trPr>
        <w:tc>
          <w:tcPr>
            <w:tcW w:w="1730" w:type="pct"/>
          </w:tcPr>
          <w:p w14:paraId="7B4D686A" w14:textId="77777777" w:rsidR="0007565C" w:rsidRPr="00EA057C" w:rsidRDefault="0007565C" w:rsidP="00713E15">
            <w:pPr>
              <w:spacing w:before="20" w:after="20"/>
              <w:rPr>
                <w:rFonts w:cs="Arial"/>
                <w:sz w:val="20"/>
                <w:szCs w:val="20"/>
              </w:rPr>
            </w:pPr>
            <w:r w:rsidRPr="00EA057C">
              <w:rPr>
                <w:rFonts w:cs="Arial"/>
                <w:sz w:val="20"/>
                <w:szCs w:val="20"/>
              </w:rPr>
              <w:t>DEER Measure IDs Used</w:t>
            </w:r>
          </w:p>
        </w:tc>
        <w:tc>
          <w:tcPr>
            <w:tcW w:w="3270" w:type="pct"/>
          </w:tcPr>
          <w:p w14:paraId="63ABA251" w14:textId="37E47F20" w:rsidR="0007565C" w:rsidRPr="00EA057C" w:rsidRDefault="0007565C" w:rsidP="00713E15">
            <w:pPr>
              <w:spacing w:before="20" w:after="20"/>
              <w:rPr>
                <w:rFonts w:cs="Arial"/>
                <w:color w:val="FF0000"/>
                <w:sz w:val="20"/>
                <w:szCs w:val="20"/>
              </w:rPr>
            </w:pPr>
          </w:p>
        </w:tc>
      </w:tr>
      <w:tr w:rsidR="0007565C" w:rsidRPr="00500C4E" w14:paraId="5A83EC74" w14:textId="77777777" w:rsidTr="6705F942">
        <w:trPr>
          <w:trHeight w:val="20"/>
        </w:trPr>
        <w:tc>
          <w:tcPr>
            <w:tcW w:w="1730" w:type="pct"/>
          </w:tcPr>
          <w:p w14:paraId="2C82A9E0" w14:textId="121308D7" w:rsidR="0007565C" w:rsidRPr="00EA057C" w:rsidRDefault="0007565C" w:rsidP="00713E15">
            <w:pPr>
              <w:spacing w:before="20" w:after="20"/>
              <w:rPr>
                <w:rFonts w:cs="Arial"/>
                <w:sz w:val="20"/>
                <w:szCs w:val="20"/>
              </w:rPr>
            </w:pPr>
            <w:r>
              <w:rPr>
                <w:rFonts w:cs="Arial"/>
                <w:sz w:val="20"/>
                <w:szCs w:val="20"/>
              </w:rPr>
              <w:t>NTG</w:t>
            </w:r>
          </w:p>
        </w:tc>
        <w:tc>
          <w:tcPr>
            <w:tcW w:w="3270" w:type="pct"/>
          </w:tcPr>
          <w:p w14:paraId="2BBBB10C" w14:textId="2566AE42" w:rsidR="0007565C" w:rsidRPr="00F846DC" w:rsidRDefault="6705F942" w:rsidP="6705F942">
            <w:pPr>
              <w:spacing w:before="20" w:after="20"/>
              <w:rPr>
                <w:rFonts w:cs="Calibri Light"/>
                <w:sz w:val="20"/>
                <w:szCs w:val="20"/>
              </w:rPr>
            </w:pPr>
            <w:r w:rsidRPr="00F846DC">
              <w:rPr>
                <w:rFonts w:cs="Calibri Light"/>
                <w:sz w:val="20"/>
                <w:szCs w:val="20"/>
              </w:rPr>
              <w:t>Source: DEER202</w:t>
            </w:r>
            <w:r w:rsidR="00F846DC" w:rsidRPr="00F846DC">
              <w:rPr>
                <w:rFonts w:cs="Calibri Light"/>
                <w:sz w:val="20"/>
                <w:szCs w:val="20"/>
              </w:rPr>
              <w:t>2</w:t>
            </w:r>
            <w:r w:rsidR="0044012E">
              <w:rPr>
                <w:rFonts w:cs="Calibri Light"/>
                <w:sz w:val="20"/>
                <w:szCs w:val="20"/>
              </w:rPr>
              <w:t xml:space="preserve"> and READI tool v2.5.1</w:t>
            </w:r>
            <w:r w:rsidRPr="00F846DC">
              <w:rPr>
                <w:rFonts w:cs="Calibri Light"/>
                <w:sz w:val="20"/>
                <w:szCs w:val="20"/>
              </w:rPr>
              <w:t xml:space="preserve">. The NTG </w:t>
            </w:r>
            <w:r w:rsidR="00F846DC" w:rsidRPr="00F846DC">
              <w:rPr>
                <w:rFonts w:cs="Calibri Light"/>
                <w:sz w:val="20"/>
                <w:szCs w:val="20"/>
              </w:rPr>
              <w:t xml:space="preserve">values for electric/gas </w:t>
            </w:r>
            <w:r w:rsidRPr="00F846DC">
              <w:rPr>
                <w:rFonts w:cs="Calibri Light"/>
                <w:sz w:val="20"/>
                <w:szCs w:val="20"/>
              </w:rPr>
              <w:t>of 0.5</w:t>
            </w:r>
            <w:r w:rsidR="00F846DC" w:rsidRPr="00F846DC">
              <w:rPr>
                <w:rFonts w:cs="Calibri Light"/>
                <w:sz w:val="20"/>
                <w:szCs w:val="20"/>
              </w:rPr>
              <w:t xml:space="preserve">/0.6 </w:t>
            </w:r>
            <w:r w:rsidRPr="00F846DC">
              <w:rPr>
                <w:rFonts w:cs="Calibri Light"/>
                <w:sz w:val="20"/>
                <w:szCs w:val="20"/>
              </w:rPr>
              <w:t xml:space="preserve">associated with NTG ID: </w:t>
            </w:r>
            <w:proofErr w:type="spellStart"/>
            <w:r w:rsidR="00F846DC" w:rsidRPr="00F846DC">
              <w:rPr>
                <w:rStyle w:val="normaltextrun"/>
                <w:rFonts w:cs="Calibri Light"/>
                <w:i/>
                <w:iCs/>
                <w:sz w:val="20"/>
                <w:szCs w:val="20"/>
              </w:rPr>
              <w:t>NonRes</w:t>
            </w:r>
            <w:proofErr w:type="spellEnd"/>
            <w:r w:rsidR="00F846DC" w:rsidRPr="00F846DC">
              <w:rPr>
                <w:rStyle w:val="normaltextrun"/>
                <w:rFonts w:cs="Calibri Light"/>
                <w:i/>
                <w:iCs/>
                <w:sz w:val="20"/>
                <w:szCs w:val="20"/>
              </w:rPr>
              <w:t>-</w:t>
            </w:r>
            <w:proofErr w:type="spellStart"/>
            <w:r w:rsidR="00F846DC" w:rsidRPr="00F846DC">
              <w:rPr>
                <w:rStyle w:val="normaltextrun"/>
                <w:rFonts w:cs="Calibri Light"/>
                <w:i/>
                <w:iCs/>
                <w:sz w:val="20"/>
                <w:szCs w:val="20"/>
              </w:rPr>
              <w:t>sAll</w:t>
            </w:r>
            <w:proofErr w:type="spellEnd"/>
            <w:r w:rsidR="00F846DC" w:rsidRPr="00F846DC">
              <w:rPr>
                <w:rStyle w:val="normaltextrun"/>
                <w:rFonts w:cs="Calibri Light"/>
                <w:i/>
                <w:iCs/>
                <w:sz w:val="20"/>
                <w:szCs w:val="20"/>
              </w:rPr>
              <w:t>-</w:t>
            </w:r>
            <w:proofErr w:type="spellStart"/>
            <w:r w:rsidR="00F846DC" w:rsidRPr="00F846DC">
              <w:rPr>
                <w:rStyle w:val="normaltextrun"/>
                <w:rFonts w:cs="Calibri Light"/>
                <w:i/>
                <w:iCs/>
                <w:sz w:val="20"/>
                <w:szCs w:val="20"/>
              </w:rPr>
              <w:t>mHVAC</w:t>
            </w:r>
            <w:proofErr w:type="spellEnd"/>
            <w:r w:rsidR="00F846DC" w:rsidRPr="00F846DC">
              <w:rPr>
                <w:rStyle w:val="normaltextrun"/>
                <w:rFonts w:cs="Calibri Light"/>
                <w:i/>
                <w:iCs/>
                <w:sz w:val="20"/>
                <w:szCs w:val="20"/>
              </w:rPr>
              <w:t>-RTU-</w:t>
            </w:r>
            <w:proofErr w:type="spellStart"/>
            <w:r w:rsidR="00F846DC" w:rsidRPr="00F846DC">
              <w:rPr>
                <w:rStyle w:val="normaltextrun"/>
                <w:rFonts w:cs="Calibri Light"/>
                <w:i/>
                <w:iCs/>
                <w:sz w:val="20"/>
                <w:szCs w:val="20"/>
              </w:rPr>
              <w:t>SplitSys</w:t>
            </w:r>
            <w:proofErr w:type="spellEnd"/>
          </w:p>
        </w:tc>
      </w:tr>
      <w:tr w:rsidR="0007565C" w:rsidRPr="00500C4E" w14:paraId="131D1F9D" w14:textId="77777777" w:rsidTr="6705F942">
        <w:trPr>
          <w:trHeight w:val="20"/>
        </w:trPr>
        <w:tc>
          <w:tcPr>
            <w:tcW w:w="1730" w:type="pct"/>
          </w:tcPr>
          <w:p w14:paraId="45FFA983" w14:textId="5F527A83" w:rsidR="0007565C" w:rsidRDefault="0007565C" w:rsidP="00713E15">
            <w:pPr>
              <w:spacing w:before="20" w:after="20"/>
              <w:rPr>
                <w:rFonts w:cs="Arial"/>
                <w:sz w:val="20"/>
                <w:szCs w:val="20"/>
              </w:rPr>
            </w:pPr>
            <w:r>
              <w:rPr>
                <w:rFonts w:cs="Arial"/>
                <w:sz w:val="20"/>
                <w:szCs w:val="20"/>
              </w:rPr>
              <w:t>GSIA</w:t>
            </w:r>
          </w:p>
        </w:tc>
        <w:tc>
          <w:tcPr>
            <w:tcW w:w="3270" w:type="pct"/>
          </w:tcPr>
          <w:p w14:paraId="7C16D603" w14:textId="7396ECFF" w:rsidR="0007565C" w:rsidRPr="00EA057C" w:rsidRDefault="0007565C" w:rsidP="00713E15">
            <w:pPr>
              <w:spacing w:before="20" w:after="20"/>
              <w:rPr>
                <w:rFonts w:cs="Arial"/>
                <w:sz w:val="20"/>
                <w:szCs w:val="20"/>
              </w:rPr>
            </w:pPr>
            <w:r>
              <w:rPr>
                <w:rFonts w:cs="Arial"/>
                <w:sz w:val="20"/>
                <w:szCs w:val="20"/>
              </w:rPr>
              <w:t xml:space="preserve">Source: </w:t>
            </w:r>
            <w:r w:rsidR="005F31A6">
              <w:rPr>
                <w:rFonts w:cs="Arial"/>
                <w:sz w:val="20"/>
                <w:szCs w:val="20"/>
              </w:rPr>
              <w:t>DEER</w:t>
            </w:r>
            <w:r>
              <w:rPr>
                <w:rFonts w:cs="Arial"/>
                <w:sz w:val="20"/>
                <w:szCs w:val="20"/>
              </w:rPr>
              <w:t xml:space="preserve">. The GSIA of </w:t>
            </w:r>
            <w:r w:rsidR="005F31A6">
              <w:rPr>
                <w:rFonts w:cs="Arial"/>
                <w:sz w:val="20"/>
                <w:szCs w:val="20"/>
              </w:rPr>
              <w:t>1.0</w:t>
            </w:r>
            <w:r>
              <w:rPr>
                <w:rFonts w:cs="Arial"/>
                <w:sz w:val="20"/>
                <w:szCs w:val="20"/>
              </w:rPr>
              <w:t xml:space="preserve"> is associated with GSIA ID: </w:t>
            </w:r>
            <w:r w:rsidR="005F31A6">
              <w:rPr>
                <w:rFonts w:cs="Arial"/>
                <w:i/>
                <w:sz w:val="20"/>
                <w:szCs w:val="20"/>
              </w:rPr>
              <w:t>Def-GSIA</w:t>
            </w:r>
          </w:p>
        </w:tc>
      </w:tr>
      <w:tr w:rsidR="0007565C" w:rsidRPr="00500C4E" w14:paraId="4D0F7E1B" w14:textId="77777777" w:rsidTr="6705F942">
        <w:trPr>
          <w:trHeight w:val="20"/>
        </w:trPr>
        <w:tc>
          <w:tcPr>
            <w:tcW w:w="1730" w:type="pct"/>
          </w:tcPr>
          <w:p w14:paraId="103BA947" w14:textId="6665B2EA" w:rsidR="0007565C" w:rsidRDefault="0007565C" w:rsidP="00713E15">
            <w:pPr>
              <w:spacing w:before="20" w:after="20"/>
              <w:rPr>
                <w:rFonts w:cs="Arial"/>
                <w:sz w:val="20"/>
                <w:szCs w:val="20"/>
              </w:rPr>
            </w:pPr>
            <w:r>
              <w:rPr>
                <w:rFonts w:cs="Arial"/>
                <w:sz w:val="20"/>
                <w:szCs w:val="20"/>
              </w:rPr>
              <w:t>EUL/RUL</w:t>
            </w:r>
          </w:p>
        </w:tc>
        <w:tc>
          <w:tcPr>
            <w:tcW w:w="3270" w:type="pct"/>
          </w:tcPr>
          <w:p w14:paraId="5BD9C961" w14:textId="31E264B8" w:rsidR="0007565C" w:rsidRPr="00EA057C" w:rsidRDefault="0007565C" w:rsidP="00713E15">
            <w:pPr>
              <w:spacing w:before="20" w:after="20"/>
              <w:rPr>
                <w:rFonts w:cs="Arial"/>
                <w:sz w:val="20"/>
                <w:szCs w:val="20"/>
              </w:rPr>
            </w:pPr>
            <w:r>
              <w:rPr>
                <w:rFonts w:cs="Arial"/>
                <w:sz w:val="20"/>
                <w:szCs w:val="20"/>
              </w:rPr>
              <w:t xml:space="preserve">Source: </w:t>
            </w:r>
            <w:r w:rsidR="005F31A6">
              <w:rPr>
                <w:rFonts w:cs="Arial"/>
                <w:sz w:val="20"/>
                <w:szCs w:val="20"/>
              </w:rPr>
              <w:t>DEER</w:t>
            </w:r>
            <w:r>
              <w:rPr>
                <w:rFonts w:cs="Arial"/>
                <w:sz w:val="20"/>
                <w:szCs w:val="20"/>
              </w:rPr>
              <w:t xml:space="preserve">. The value of </w:t>
            </w:r>
            <w:r w:rsidR="005F31A6">
              <w:rPr>
                <w:rFonts w:cs="Arial"/>
                <w:sz w:val="20"/>
                <w:szCs w:val="20"/>
              </w:rPr>
              <w:t>15</w:t>
            </w:r>
            <w:r>
              <w:rPr>
                <w:rFonts w:cs="Arial"/>
                <w:sz w:val="20"/>
                <w:szCs w:val="20"/>
              </w:rPr>
              <w:t xml:space="preserve"> years is associated with EUL ID: </w:t>
            </w:r>
            <w:r w:rsidR="005F31A6" w:rsidRPr="005F31A6">
              <w:rPr>
                <w:rFonts w:cs="Arial"/>
                <w:i/>
                <w:sz w:val="20"/>
                <w:szCs w:val="20"/>
              </w:rPr>
              <w:t>HVAC-</w:t>
            </w:r>
            <w:proofErr w:type="spellStart"/>
            <w:r w:rsidR="005F31A6" w:rsidRPr="005F31A6">
              <w:rPr>
                <w:rFonts w:cs="Arial"/>
                <w:i/>
                <w:sz w:val="20"/>
                <w:szCs w:val="20"/>
              </w:rPr>
              <w:t>airAC</w:t>
            </w:r>
            <w:proofErr w:type="spellEnd"/>
            <w:r w:rsidR="0039148C">
              <w:rPr>
                <w:rFonts w:cs="Arial"/>
                <w:i/>
                <w:sz w:val="20"/>
                <w:szCs w:val="20"/>
              </w:rPr>
              <w:t>,</w:t>
            </w:r>
            <w:r w:rsidR="005F31A6" w:rsidRPr="005F31A6">
              <w:rPr>
                <w:rFonts w:cs="Arial"/>
                <w:i/>
                <w:sz w:val="20"/>
                <w:szCs w:val="20"/>
              </w:rPr>
              <w:t xml:space="preserve"> HVAC-</w:t>
            </w:r>
            <w:proofErr w:type="spellStart"/>
            <w:r w:rsidR="005F31A6" w:rsidRPr="005F31A6">
              <w:rPr>
                <w:rFonts w:cs="Arial"/>
                <w:i/>
                <w:sz w:val="20"/>
                <w:szCs w:val="20"/>
              </w:rPr>
              <w:t>airHP</w:t>
            </w:r>
            <w:proofErr w:type="spellEnd"/>
            <w:r>
              <w:rPr>
                <w:rFonts w:cs="Arial"/>
                <w:sz w:val="20"/>
                <w:szCs w:val="20"/>
              </w:rPr>
              <w:t xml:space="preserve"> </w:t>
            </w:r>
          </w:p>
        </w:tc>
      </w:tr>
    </w:tbl>
    <w:p w14:paraId="59542C0D" w14:textId="77777777" w:rsidR="007D230B" w:rsidRDefault="007D230B" w:rsidP="00462BB6">
      <w:pPr>
        <w:pStyle w:val="eTRMHeading3"/>
      </w:pPr>
      <w:bookmarkStart w:id="81" w:name="_Toc486490866"/>
      <w:bookmarkStart w:id="82" w:name="_Toc486580937"/>
      <w:bookmarkStart w:id="83" w:name="_Toc20997215"/>
      <w:bookmarkStart w:id="84" w:name="_Hlk516051142"/>
      <w:bookmarkStart w:id="85" w:name="_Hlk516047558"/>
      <w:r w:rsidRPr="004B06E3">
        <w:t>Revision History</w:t>
      </w:r>
      <w:bookmarkEnd w:id="81"/>
      <w:bookmarkEnd w:id="82"/>
      <w:bookmarkEnd w:id="83"/>
    </w:p>
    <w:p w14:paraId="49DE8E7A" w14:textId="331471EA" w:rsidR="009B176A" w:rsidRDefault="009B176A" w:rsidP="009B176A">
      <w:pPr>
        <w:pStyle w:val="Caption"/>
      </w:pPr>
      <w:bookmarkStart w:id="86" w:name="_Hlk515959178"/>
      <w:r w:rsidRPr="004558FA">
        <w:t>Measure Characterization Revision History</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830"/>
        <w:gridCol w:w="5230"/>
      </w:tblGrid>
      <w:tr w:rsidR="00CA1CB3" w:rsidRPr="00500C4E" w14:paraId="1904D58C" w14:textId="6E96D877" w:rsidTr="6705F942">
        <w:trPr>
          <w:trHeight w:val="20"/>
        </w:trPr>
        <w:tc>
          <w:tcPr>
            <w:tcW w:w="940" w:type="dxa"/>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1350" w:type="dxa"/>
            <w:shd w:val="clear" w:color="auto" w:fill="F2F2F2" w:themeFill="background1" w:themeFillShade="F2"/>
            <w:vAlign w:val="bottom"/>
          </w:tcPr>
          <w:p w14:paraId="7DC8BCED" w14:textId="284EAD7D" w:rsidR="00CA1CB3" w:rsidRPr="00EA057C" w:rsidRDefault="00CA1CB3" w:rsidP="00871123">
            <w:pPr>
              <w:keepNext/>
              <w:keepLines/>
              <w:spacing w:before="20" w:after="20"/>
              <w:rPr>
                <w:rFonts w:cs="Arial"/>
                <w:b/>
                <w:sz w:val="20"/>
                <w:szCs w:val="20"/>
              </w:rPr>
            </w:pPr>
            <w:r>
              <w:rPr>
                <w:rFonts w:cs="Arial"/>
                <w:b/>
                <w:sz w:val="20"/>
                <w:szCs w:val="20"/>
              </w:rPr>
              <w:t>Date</w:t>
            </w:r>
          </w:p>
        </w:tc>
        <w:tc>
          <w:tcPr>
            <w:tcW w:w="1830" w:type="dxa"/>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5230" w:type="dxa"/>
            <w:shd w:val="clear" w:color="auto" w:fill="F2F2F2" w:themeFill="background1" w:themeFillShade="F2"/>
            <w:vAlign w:val="bottom"/>
          </w:tcPr>
          <w:p w14:paraId="27C17E65" w14:textId="222C519C" w:rsidR="00CA1CB3" w:rsidRDefault="00CA1CB3" w:rsidP="00871123">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keepNext/>
              <w:keepLines/>
              <w:spacing w:before="20" w:after="20"/>
              <w:rPr>
                <w:rFonts w:cs="Arial"/>
                <w:b/>
                <w:sz w:val="20"/>
                <w:szCs w:val="20"/>
              </w:rPr>
            </w:pPr>
            <w:r>
              <w:rPr>
                <w:rFonts w:cs="Arial"/>
                <w:b/>
                <w:sz w:val="20"/>
                <w:szCs w:val="20"/>
              </w:rPr>
              <w:t>Effective Date and Approved By</w:t>
            </w:r>
          </w:p>
        </w:tc>
      </w:tr>
      <w:tr w:rsidR="00CA1CB3" w:rsidRPr="00CA1CB3" w14:paraId="0A9DBD7D" w14:textId="04A29668" w:rsidTr="6705F942">
        <w:trPr>
          <w:trHeight w:val="20"/>
        </w:trPr>
        <w:tc>
          <w:tcPr>
            <w:tcW w:w="940" w:type="dxa"/>
          </w:tcPr>
          <w:p w14:paraId="38788C98" w14:textId="650C945D" w:rsidR="00CA1CB3" w:rsidRPr="00CA1CB3" w:rsidRDefault="6705F942" w:rsidP="6705F942">
            <w:pPr>
              <w:keepNext/>
              <w:keepLines/>
              <w:spacing w:before="0" w:after="0"/>
              <w:rPr>
                <w:rFonts w:cs="Arial"/>
                <w:sz w:val="20"/>
                <w:szCs w:val="20"/>
              </w:rPr>
            </w:pPr>
            <w:r w:rsidRPr="6705F942">
              <w:rPr>
                <w:rFonts w:cs="Arial"/>
                <w:sz w:val="20"/>
                <w:szCs w:val="20"/>
              </w:rPr>
              <w:t>01</w:t>
            </w:r>
          </w:p>
        </w:tc>
        <w:tc>
          <w:tcPr>
            <w:tcW w:w="1350" w:type="dxa"/>
          </w:tcPr>
          <w:p w14:paraId="03B67B1D" w14:textId="0462D0AF" w:rsidR="00CA1CB3" w:rsidRPr="00B558BB" w:rsidRDefault="6705F942" w:rsidP="6705F942">
            <w:pPr>
              <w:keepNext/>
              <w:keepLines/>
              <w:spacing w:before="0" w:after="0"/>
              <w:rPr>
                <w:rFonts w:cs="Arial"/>
                <w:sz w:val="20"/>
                <w:szCs w:val="20"/>
              </w:rPr>
            </w:pPr>
            <w:r w:rsidRPr="6705F942">
              <w:rPr>
                <w:rFonts w:cs="Arial"/>
                <w:sz w:val="20"/>
                <w:szCs w:val="20"/>
              </w:rPr>
              <w:t>06/30/2018</w:t>
            </w:r>
          </w:p>
        </w:tc>
        <w:tc>
          <w:tcPr>
            <w:tcW w:w="1830" w:type="dxa"/>
          </w:tcPr>
          <w:p w14:paraId="24160CE8" w14:textId="2BF97EBA" w:rsidR="00670A7E" w:rsidRPr="00B558BB" w:rsidRDefault="6705F942" w:rsidP="6705F942">
            <w:pPr>
              <w:keepNext/>
              <w:keepLines/>
              <w:spacing w:before="0" w:after="0"/>
              <w:rPr>
                <w:rFonts w:cs="Arial"/>
                <w:sz w:val="20"/>
                <w:szCs w:val="20"/>
              </w:rPr>
            </w:pPr>
            <w:r w:rsidRPr="6705F942">
              <w:rPr>
                <w:rFonts w:cs="Arial"/>
                <w:sz w:val="20"/>
                <w:szCs w:val="20"/>
              </w:rPr>
              <w:t>Jennifer Holmes</w:t>
            </w:r>
          </w:p>
          <w:p w14:paraId="32D154D7" w14:textId="0FB8154E" w:rsidR="00CA1CB3" w:rsidRPr="00B558BB" w:rsidRDefault="6705F942" w:rsidP="6705F942">
            <w:pPr>
              <w:keepNext/>
              <w:keepLines/>
              <w:spacing w:before="0" w:after="0"/>
              <w:rPr>
                <w:rFonts w:cs="Arial"/>
                <w:sz w:val="20"/>
                <w:szCs w:val="20"/>
              </w:rPr>
            </w:pPr>
            <w:r w:rsidRPr="6705F942">
              <w:rPr>
                <w:rFonts w:cs="Arial"/>
                <w:sz w:val="20"/>
                <w:szCs w:val="20"/>
              </w:rPr>
              <w:t>Cal TF Staff</w:t>
            </w:r>
          </w:p>
        </w:tc>
        <w:tc>
          <w:tcPr>
            <w:tcW w:w="5230" w:type="dxa"/>
          </w:tcPr>
          <w:p w14:paraId="0C93091A" w14:textId="77777777" w:rsidR="009669D2" w:rsidRDefault="6705F942" w:rsidP="6705F942">
            <w:pPr>
              <w:keepNext/>
              <w:keepLines/>
              <w:spacing w:before="0" w:after="0"/>
              <w:rPr>
                <w:rFonts w:cs="Arial"/>
                <w:sz w:val="20"/>
                <w:szCs w:val="20"/>
              </w:rPr>
            </w:pPr>
            <w:r w:rsidRPr="6705F942">
              <w:rPr>
                <w:rFonts w:cs="Arial"/>
                <w:sz w:val="20"/>
                <w:szCs w:val="20"/>
              </w:rPr>
              <w:t>Draft of consolidated text for this statewide measure is based upon:</w:t>
            </w:r>
          </w:p>
          <w:p w14:paraId="19876DC5" w14:textId="77777777" w:rsidR="00B558BB" w:rsidRDefault="6705F942" w:rsidP="6705F942">
            <w:pPr>
              <w:keepNext/>
              <w:keepLines/>
              <w:spacing w:before="0" w:after="0"/>
              <w:rPr>
                <w:rFonts w:cs="Arial"/>
                <w:sz w:val="20"/>
                <w:szCs w:val="20"/>
              </w:rPr>
            </w:pPr>
            <w:r w:rsidRPr="6705F942">
              <w:rPr>
                <w:rFonts w:cs="Arial"/>
                <w:sz w:val="20"/>
                <w:szCs w:val="20"/>
              </w:rPr>
              <w:t>PGECOHVC126, Revision 7 (July 1, 2017)</w:t>
            </w:r>
          </w:p>
          <w:p w14:paraId="631B06C1" w14:textId="6D7CC6EA" w:rsidR="009669D2" w:rsidRDefault="6705F942" w:rsidP="6705F942">
            <w:pPr>
              <w:keepNext/>
              <w:keepLines/>
              <w:spacing w:before="0" w:after="0"/>
              <w:rPr>
                <w:rFonts w:cs="Arial"/>
                <w:sz w:val="20"/>
                <w:szCs w:val="20"/>
              </w:rPr>
            </w:pPr>
            <w:r w:rsidRPr="6705F942">
              <w:rPr>
                <w:rFonts w:cs="Arial"/>
                <w:sz w:val="20"/>
                <w:szCs w:val="20"/>
              </w:rPr>
              <w:t xml:space="preserve">WPSDGENRHC0023, Revision 2 (January 2, 2018) – short form </w:t>
            </w:r>
          </w:p>
          <w:p w14:paraId="66E7E1C3" w14:textId="26D6A2E0" w:rsidR="00B558BB" w:rsidRDefault="6705F942" w:rsidP="6705F942">
            <w:pPr>
              <w:keepNext/>
              <w:keepLines/>
              <w:spacing w:before="0" w:after="0"/>
              <w:rPr>
                <w:rFonts w:cs="Arial"/>
                <w:sz w:val="20"/>
                <w:szCs w:val="20"/>
              </w:rPr>
            </w:pPr>
            <w:r w:rsidRPr="6705F942">
              <w:rPr>
                <w:rFonts w:cs="Arial"/>
                <w:sz w:val="20"/>
                <w:szCs w:val="20"/>
              </w:rPr>
              <w:t>SCE17HC012, Revision 1 (February 2, 2018) – short form</w:t>
            </w:r>
          </w:p>
          <w:p w14:paraId="6C70C36F" w14:textId="6E7BB247" w:rsidR="007F4F97" w:rsidRPr="00CA1CB3" w:rsidRDefault="6705F942" w:rsidP="6705F942">
            <w:pPr>
              <w:keepNext/>
              <w:keepLines/>
              <w:spacing w:before="0" w:after="0"/>
              <w:rPr>
                <w:rFonts w:cs="Arial"/>
                <w:sz w:val="20"/>
                <w:szCs w:val="20"/>
              </w:rPr>
            </w:pPr>
            <w:r w:rsidRPr="6705F942">
              <w:rPr>
                <w:rFonts w:cs="Arial"/>
                <w:sz w:val="20"/>
                <w:szCs w:val="20"/>
              </w:rPr>
              <w:t>Consensus reached among Cal TF members.</w:t>
            </w:r>
          </w:p>
        </w:tc>
      </w:tr>
      <w:tr w:rsidR="2EB9C07B" w14:paraId="35B5010E" w14:textId="77777777" w:rsidTr="6705F942">
        <w:trPr>
          <w:trHeight w:val="20"/>
        </w:trPr>
        <w:tc>
          <w:tcPr>
            <w:tcW w:w="940" w:type="dxa"/>
          </w:tcPr>
          <w:p w14:paraId="4417186A" w14:textId="783D8344" w:rsidR="2EB9C07B" w:rsidRDefault="2EB9C07B" w:rsidP="2EB9C07B">
            <w:pPr>
              <w:spacing w:before="0" w:after="0"/>
              <w:rPr>
                <w:rFonts w:cs="Arial"/>
                <w:sz w:val="20"/>
                <w:szCs w:val="20"/>
              </w:rPr>
            </w:pPr>
            <w:r w:rsidRPr="2EB9C07B">
              <w:rPr>
                <w:rFonts w:cs="Arial"/>
                <w:sz w:val="20"/>
                <w:szCs w:val="20"/>
              </w:rPr>
              <w:t>01</w:t>
            </w:r>
          </w:p>
        </w:tc>
        <w:tc>
          <w:tcPr>
            <w:tcW w:w="1350" w:type="dxa"/>
          </w:tcPr>
          <w:p w14:paraId="0F3814E2" w14:textId="4739A86E" w:rsidR="2EB9C07B" w:rsidRDefault="6705F942" w:rsidP="6705F942">
            <w:pPr>
              <w:spacing w:before="0" w:after="0"/>
              <w:rPr>
                <w:rFonts w:cs="Arial"/>
                <w:sz w:val="20"/>
                <w:szCs w:val="20"/>
              </w:rPr>
            </w:pPr>
            <w:r w:rsidRPr="6705F942">
              <w:rPr>
                <w:rFonts w:cs="Arial"/>
                <w:sz w:val="20"/>
                <w:szCs w:val="20"/>
              </w:rPr>
              <w:t>10/04/2019</w:t>
            </w:r>
          </w:p>
        </w:tc>
        <w:tc>
          <w:tcPr>
            <w:tcW w:w="1830" w:type="dxa"/>
          </w:tcPr>
          <w:p w14:paraId="6D90E14F" w14:textId="55CA4071" w:rsidR="2EB9C07B" w:rsidRDefault="2EB9C07B" w:rsidP="2EB9C07B">
            <w:pPr>
              <w:spacing w:before="0" w:after="0"/>
              <w:rPr>
                <w:rFonts w:cs="Arial"/>
                <w:sz w:val="20"/>
                <w:szCs w:val="20"/>
              </w:rPr>
            </w:pPr>
            <w:r w:rsidRPr="2EB9C07B">
              <w:rPr>
                <w:rFonts w:cs="Arial"/>
                <w:sz w:val="20"/>
                <w:szCs w:val="20"/>
              </w:rPr>
              <w:t xml:space="preserve">Henry Liu </w:t>
            </w:r>
          </w:p>
          <w:p w14:paraId="7A1D0A83" w14:textId="7CB5B6CB" w:rsidR="2EB9C07B" w:rsidRDefault="6705F942" w:rsidP="6705F942">
            <w:pPr>
              <w:spacing w:before="0" w:after="0"/>
              <w:rPr>
                <w:rFonts w:cs="Arial"/>
                <w:sz w:val="20"/>
                <w:szCs w:val="20"/>
              </w:rPr>
            </w:pPr>
            <w:r w:rsidRPr="6705F942">
              <w:rPr>
                <w:rFonts w:cs="Arial"/>
                <w:sz w:val="20"/>
                <w:szCs w:val="20"/>
              </w:rPr>
              <w:t>PG&amp;E,</w:t>
            </w:r>
          </w:p>
          <w:p w14:paraId="03C51E88" w14:textId="2C28FAE1" w:rsidR="2EB9C07B" w:rsidRDefault="6705F942" w:rsidP="6705F942">
            <w:pPr>
              <w:spacing w:before="0" w:after="0"/>
              <w:rPr>
                <w:rFonts w:eastAsia="Calibri Light" w:cs="Calibri Light"/>
                <w:sz w:val="20"/>
                <w:szCs w:val="20"/>
              </w:rPr>
            </w:pPr>
            <w:r w:rsidRPr="6705F942">
              <w:rPr>
                <w:rFonts w:eastAsia="Calibri Light" w:cs="Calibri Light"/>
                <w:sz w:val="20"/>
                <w:szCs w:val="20"/>
              </w:rPr>
              <w:t>Bryan Boyce and Garrett Hedberg</w:t>
            </w:r>
          </w:p>
          <w:p w14:paraId="2208FDF2" w14:textId="27EB6577" w:rsidR="2EB9C07B" w:rsidRDefault="6705F942" w:rsidP="6705F942">
            <w:pPr>
              <w:spacing w:before="0" w:after="0"/>
              <w:rPr>
                <w:rFonts w:eastAsia="Calibri Light" w:cs="Calibri Light"/>
                <w:sz w:val="20"/>
                <w:szCs w:val="20"/>
              </w:rPr>
            </w:pPr>
            <w:r w:rsidRPr="6705F942">
              <w:rPr>
                <w:rFonts w:eastAsia="Calibri Light" w:cs="Calibri Light"/>
                <w:sz w:val="20"/>
                <w:szCs w:val="20"/>
              </w:rPr>
              <w:t>Energy Solutions</w:t>
            </w:r>
          </w:p>
        </w:tc>
        <w:tc>
          <w:tcPr>
            <w:tcW w:w="5230" w:type="dxa"/>
          </w:tcPr>
          <w:p w14:paraId="3046A67C" w14:textId="01344858" w:rsidR="2EB9C07B" w:rsidRDefault="2EB9C07B" w:rsidP="2EB9C07B">
            <w:pPr>
              <w:spacing w:before="0" w:after="0"/>
              <w:rPr>
                <w:rFonts w:cs="Arial"/>
                <w:sz w:val="20"/>
                <w:szCs w:val="20"/>
              </w:rPr>
            </w:pPr>
            <w:r w:rsidRPr="2EB9C07B">
              <w:rPr>
                <w:rFonts w:cs="Arial"/>
                <w:sz w:val="20"/>
                <w:szCs w:val="20"/>
              </w:rPr>
              <w:t>Updated energy impacts with DEER2020 values.</w:t>
            </w:r>
          </w:p>
          <w:p w14:paraId="3D7FE094" w14:textId="74B1B2CA" w:rsidR="2EB9C07B" w:rsidRDefault="2EB9C07B" w:rsidP="2EB9C07B">
            <w:pPr>
              <w:spacing w:before="0" w:after="0"/>
              <w:rPr>
                <w:rFonts w:cs="Arial"/>
                <w:sz w:val="20"/>
                <w:szCs w:val="20"/>
              </w:rPr>
            </w:pPr>
            <w:r w:rsidRPr="2EB9C07B">
              <w:rPr>
                <w:rFonts w:cs="Arial"/>
                <w:sz w:val="20"/>
                <w:szCs w:val="20"/>
              </w:rPr>
              <w:t xml:space="preserve">Updated NTG. </w:t>
            </w:r>
          </w:p>
          <w:p w14:paraId="0D801BCF" w14:textId="4AFCD315" w:rsidR="2EB9C07B" w:rsidRDefault="2EB9C07B" w:rsidP="2EB9C07B">
            <w:pPr>
              <w:spacing w:before="0" w:after="0"/>
              <w:rPr>
                <w:rFonts w:cs="Arial"/>
                <w:sz w:val="20"/>
                <w:szCs w:val="20"/>
              </w:rPr>
            </w:pPr>
            <w:r w:rsidRPr="2EB9C07B">
              <w:rPr>
                <w:rFonts w:cs="Arial"/>
                <w:sz w:val="20"/>
                <w:szCs w:val="20"/>
              </w:rPr>
              <w:t xml:space="preserve">Finalized workpaper document in statewide format and created </w:t>
            </w:r>
            <w:proofErr w:type="spellStart"/>
            <w:r w:rsidRPr="2EB9C07B">
              <w:rPr>
                <w:rFonts w:cs="Arial"/>
                <w:sz w:val="20"/>
                <w:szCs w:val="20"/>
              </w:rPr>
              <w:t>MeasureDataSpec</w:t>
            </w:r>
            <w:proofErr w:type="spellEnd"/>
            <w:r w:rsidRPr="2EB9C07B">
              <w:rPr>
                <w:rFonts w:cs="Arial"/>
                <w:sz w:val="20"/>
                <w:szCs w:val="20"/>
              </w:rPr>
              <w:t xml:space="preserve"> and EAD Tables.</w:t>
            </w:r>
          </w:p>
        </w:tc>
      </w:tr>
      <w:tr w:rsidR="6705F942" w14:paraId="20B3F05A" w14:textId="77777777" w:rsidTr="6705F942">
        <w:trPr>
          <w:trHeight w:val="20"/>
        </w:trPr>
        <w:tc>
          <w:tcPr>
            <w:tcW w:w="940" w:type="dxa"/>
          </w:tcPr>
          <w:p w14:paraId="2A03F15C" w14:textId="22D024DA" w:rsidR="6705F942" w:rsidRDefault="6705F942" w:rsidP="6705F942">
            <w:pPr>
              <w:spacing w:before="0" w:after="0"/>
              <w:rPr>
                <w:rFonts w:cs="Arial"/>
                <w:sz w:val="20"/>
                <w:szCs w:val="20"/>
              </w:rPr>
            </w:pPr>
            <w:r w:rsidRPr="6705F942">
              <w:rPr>
                <w:rFonts w:cs="Arial"/>
                <w:sz w:val="20"/>
                <w:szCs w:val="20"/>
              </w:rPr>
              <w:t>01</w:t>
            </w:r>
          </w:p>
        </w:tc>
        <w:tc>
          <w:tcPr>
            <w:tcW w:w="1350" w:type="dxa"/>
          </w:tcPr>
          <w:p w14:paraId="3223D736" w14:textId="057EC2D6" w:rsidR="6705F942" w:rsidRDefault="6705F942" w:rsidP="6705F942">
            <w:pPr>
              <w:spacing w:before="0" w:after="0"/>
              <w:rPr>
                <w:rFonts w:cs="Arial"/>
                <w:sz w:val="20"/>
                <w:szCs w:val="20"/>
              </w:rPr>
            </w:pPr>
            <w:r w:rsidRPr="6705F942">
              <w:rPr>
                <w:rFonts w:cs="Arial"/>
                <w:sz w:val="20"/>
                <w:szCs w:val="20"/>
              </w:rPr>
              <w:t>11/15/2019</w:t>
            </w:r>
          </w:p>
        </w:tc>
        <w:tc>
          <w:tcPr>
            <w:tcW w:w="1830" w:type="dxa"/>
          </w:tcPr>
          <w:p w14:paraId="7F1B3E3F" w14:textId="6D0E0C5F" w:rsidR="6705F942" w:rsidRDefault="6705F942" w:rsidP="6705F942">
            <w:pPr>
              <w:spacing w:before="0" w:after="0"/>
              <w:rPr>
                <w:rFonts w:cs="Arial"/>
                <w:sz w:val="20"/>
                <w:szCs w:val="20"/>
              </w:rPr>
            </w:pPr>
            <w:r w:rsidRPr="6705F942">
              <w:rPr>
                <w:rFonts w:cs="Arial"/>
                <w:sz w:val="20"/>
                <w:szCs w:val="20"/>
              </w:rPr>
              <w:t>Henry Liu</w:t>
            </w:r>
          </w:p>
          <w:p w14:paraId="3F98709D" w14:textId="5D6170D1" w:rsidR="6705F942" w:rsidRDefault="6705F942" w:rsidP="6705F942">
            <w:pPr>
              <w:spacing w:before="0" w:after="0"/>
              <w:rPr>
                <w:rFonts w:cs="Arial"/>
                <w:sz w:val="20"/>
                <w:szCs w:val="20"/>
              </w:rPr>
            </w:pPr>
            <w:r w:rsidRPr="6705F942">
              <w:rPr>
                <w:rFonts w:cs="Arial"/>
                <w:sz w:val="20"/>
                <w:szCs w:val="20"/>
              </w:rPr>
              <w:t>PG&amp;E,</w:t>
            </w:r>
          </w:p>
          <w:p w14:paraId="2A18E341" w14:textId="498D0590" w:rsidR="6705F942" w:rsidRDefault="6705F942" w:rsidP="6705F942">
            <w:pPr>
              <w:spacing w:before="0" w:after="0"/>
              <w:rPr>
                <w:rFonts w:eastAsia="Calibri Light" w:cs="Calibri Light"/>
                <w:sz w:val="20"/>
                <w:szCs w:val="20"/>
              </w:rPr>
            </w:pPr>
            <w:r w:rsidRPr="6705F942">
              <w:rPr>
                <w:rFonts w:eastAsia="Calibri Light" w:cs="Calibri Light"/>
                <w:sz w:val="20"/>
                <w:szCs w:val="20"/>
              </w:rPr>
              <w:t>Bryan Boyce and Garrett Hedberg</w:t>
            </w:r>
          </w:p>
          <w:p w14:paraId="51610C17" w14:textId="2437FD10" w:rsidR="6705F942" w:rsidRDefault="6705F942" w:rsidP="6705F942">
            <w:pPr>
              <w:spacing w:before="0" w:after="0"/>
              <w:rPr>
                <w:rFonts w:eastAsia="Calibri Light" w:cs="Calibri Light"/>
                <w:sz w:val="20"/>
                <w:szCs w:val="20"/>
              </w:rPr>
            </w:pPr>
            <w:r w:rsidRPr="6705F942">
              <w:rPr>
                <w:rFonts w:eastAsia="Calibri Light" w:cs="Calibri Light"/>
                <w:sz w:val="20"/>
                <w:szCs w:val="20"/>
              </w:rPr>
              <w:t>Energy Solutions</w:t>
            </w:r>
          </w:p>
        </w:tc>
        <w:tc>
          <w:tcPr>
            <w:tcW w:w="5230" w:type="dxa"/>
          </w:tcPr>
          <w:p w14:paraId="632F9A2C" w14:textId="600D229B" w:rsidR="6705F942" w:rsidRDefault="6705F942" w:rsidP="6705F942">
            <w:pPr>
              <w:spacing w:before="0" w:after="0"/>
              <w:rPr>
                <w:rFonts w:cs="Arial"/>
                <w:sz w:val="20"/>
                <w:szCs w:val="20"/>
              </w:rPr>
            </w:pPr>
            <w:r w:rsidRPr="6705F942">
              <w:rPr>
                <w:rFonts w:cs="Arial"/>
                <w:sz w:val="20"/>
                <w:szCs w:val="20"/>
              </w:rPr>
              <w:t xml:space="preserve">Corrected typo in the Measure Case Description, removed to-code language from workpaper, in response to CPUC feedback. </w:t>
            </w:r>
          </w:p>
          <w:p w14:paraId="158BCB7F" w14:textId="2F88CBDB" w:rsidR="6705F942" w:rsidRDefault="6705F942" w:rsidP="6705F942">
            <w:pPr>
              <w:spacing w:before="0" w:after="0"/>
              <w:rPr>
                <w:rFonts w:cs="Arial"/>
                <w:sz w:val="20"/>
                <w:szCs w:val="20"/>
              </w:rPr>
            </w:pPr>
            <w:r w:rsidRPr="6705F942">
              <w:rPr>
                <w:rFonts w:cs="Arial"/>
                <w:sz w:val="20"/>
                <w:szCs w:val="20"/>
              </w:rPr>
              <w:t xml:space="preserve">Additional QC on </w:t>
            </w:r>
            <w:proofErr w:type="spellStart"/>
            <w:r w:rsidRPr="6705F942">
              <w:rPr>
                <w:rFonts w:cs="Arial"/>
                <w:sz w:val="20"/>
                <w:szCs w:val="20"/>
              </w:rPr>
              <w:t>MeasureDataSpec</w:t>
            </w:r>
            <w:proofErr w:type="spellEnd"/>
            <w:r w:rsidRPr="6705F942">
              <w:rPr>
                <w:rFonts w:cs="Arial"/>
                <w:sz w:val="20"/>
                <w:szCs w:val="20"/>
              </w:rPr>
              <w:t xml:space="preserve"> and EAD Tables, </w:t>
            </w:r>
            <w:r w:rsidRPr="6705F942">
              <w:rPr>
                <w:rFonts w:eastAsia="Calibri Light" w:cs="Calibri Light"/>
                <w:sz w:val="19"/>
                <w:szCs w:val="19"/>
              </w:rPr>
              <w:t>minor editorial/references adjusted</w:t>
            </w:r>
            <w:r w:rsidRPr="6705F942">
              <w:rPr>
                <w:rFonts w:cs="Arial"/>
                <w:sz w:val="20"/>
                <w:szCs w:val="20"/>
              </w:rPr>
              <w:t xml:space="preserve">. Corrected CZ16 savings in EAD table from PG&amp;E to SCE DEER values.  </w:t>
            </w:r>
          </w:p>
        </w:tc>
      </w:tr>
      <w:tr w:rsidR="00CA4BDF" w14:paraId="228FA5A8" w14:textId="77777777" w:rsidTr="6705F942">
        <w:trPr>
          <w:trHeight w:val="20"/>
        </w:trPr>
        <w:tc>
          <w:tcPr>
            <w:tcW w:w="940" w:type="dxa"/>
          </w:tcPr>
          <w:p w14:paraId="47670C9E" w14:textId="637CA5B9" w:rsidR="00CA4BDF" w:rsidRPr="6705F942" w:rsidRDefault="00CA4BDF" w:rsidP="6705F942">
            <w:pPr>
              <w:spacing w:before="0" w:after="0"/>
              <w:rPr>
                <w:rFonts w:cs="Arial"/>
                <w:sz w:val="20"/>
                <w:szCs w:val="20"/>
              </w:rPr>
            </w:pPr>
            <w:r>
              <w:rPr>
                <w:rFonts w:cs="Arial"/>
                <w:sz w:val="20"/>
                <w:szCs w:val="20"/>
              </w:rPr>
              <w:t>02</w:t>
            </w:r>
          </w:p>
        </w:tc>
        <w:tc>
          <w:tcPr>
            <w:tcW w:w="1350" w:type="dxa"/>
          </w:tcPr>
          <w:p w14:paraId="575BEFC0" w14:textId="2E6E0329" w:rsidR="00CA4BDF" w:rsidRPr="6705F942" w:rsidRDefault="00F846DC" w:rsidP="6705F942">
            <w:pPr>
              <w:spacing w:before="0" w:after="0"/>
              <w:rPr>
                <w:rFonts w:cs="Arial"/>
                <w:sz w:val="20"/>
                <w:szCs w:val="20"/>
              </w:rPr>
            </w:pPr>
            <w:r>
              <w:rPr>
                <w:rFonts w:cs="Arial"/>
                <w:sz w:val="20"/>
                <w:szCs w:val="20"/>
              </w:rPr>
              <w:t>04</w:t>
            </w:r>
            <w:r w:rsidR="00CA4BDF">
              <w:rPr>
                <w:rFonts w:cs="Arial"/>
                <w:sz w:val="20"/>
                <w:szCs w:val="20"/>
              </w:rPr>
              <w:t>/09/202</w:t>
            </w:r>
            <w:r>
              <w:rPr>
                <w:rFonts w:cs="Arial"/>
                <w:sz w:val="20"/>
                <w:szCs w:val="20"/>
              </w:rPr>
              <w:t>1</w:t>
            </w:r>
          </w:p>
        </w:tc>
        <w:tc>
          <w:tcPr>
            <w:tcW w:w="1830" w:type="dxa"/>
          </w:tcPr>
          <w:p w14:paraId="7D09773B" w14:textId="3E8E318C" w:rsidR="00CA4BDF" w:rsidRPr="6705F942" w:rsidRDefault="00CA4BDF" w:rsidP="6705F942">
            <w:pPr>
              <w:spacing w:before="0" w:after="0"/>
              <w:rPr>
                <w:rFonts w:cs="Arial"/>
                <w:sz w:val="20"/>
                <w:szCs w:val="20"/>
              </w:rPr>
            </w:pPr>
            <w:r>
              <w:rPr>
                <w:rFonts w:cs="Arial"/>
                <w:sz w:val="20"/>
                <w:szCs w:val="20"/>
              </w:rPr>
              <w:t>Eduardo Reynoso, SDG&amp;E</w:t>
            </w:r>
          </w:p>
        </w:tc>
        <w:tc>
          <w:tcPr>
            <w:tcW w:w="5230" w:type="dxa"/>
          </w:tcPr>
          <w:p w14:paraId="6F301482" w14:textId="0588DC28" w:rsidR="00CA4BDF" w:rsidRPr="6705F942" w:rsidRDefault="00751068" w:rsidP="6705F942">
            <w:pPr>
              <w:spacing w:before="0" w:after="0"/>
              <w:rPr>
                <w:rFonts w:cs="Arial"/>
                <w:sz w:val="20"/>
                <w:szCs w:val="20"/>
              </w:rPr>
            </w:pPr>
            <w:r>
              <w:rPr>
                <w:rFonts w:cs="Arial"/>
                <w:sz w:val="20"/>
                <w:szCs w:val="20"/>
              </w:rPr>
              <w:t xml:space="preserve">Updated ex-ante data </w:t>
            </w:r>
            <w:r w:rsidR="00E73D37">
              <w:rPr>
                <w:rFonts w:cs="Arial"/>
                <w:sz w:val="20"/>
                <w:szCs w:val="20"/>
              </w:rPr>
              <w:t xml:space="preserve">(EAD) associated with </w:t>
            </w:r>
            <w:r w:rsidR="00755258">
              <w:rPr>
                <w:rFonts w:cs="Arial"/>
                <w:sz w:val="20"/>
                <w:szCs w:val="20"/>
              </w:rPr>
              <w:t xml:space="preserve">DEER NTG and </w:t>
            </w:r>
            <w:r w:rsidR="00E73D37">
              <w:rPr>
                <w:rFonts w:cs="Arial"/>
                <w:sz w:val="20"/>
                <w:szCs w:val="20"/>
              </w:rPr>
              <w:t xml:space="preserve">energy impacts records </w:t>
            </w:r>
            <w:r w:rsidR="00BE3063">
              <w:rPr>
                <w:rFonts w:cs="Arial"/>
                <w:sz w:val="20"/>
                <w:szCs w:val="20"/>
              </w:rPr>
              <w:t xml:space="preserve">for </w:t>
            </w:r>
            <w:r w:rsidR="00F846DC">
              <w:rPr>
                <w:rFonts w:cs="Arial"/>
                <w:sz w:val="20"/>
                <w:szCs w:val="20"/>
              </w:rPr>
              <w:t xml:space="preserve">DEER2022 and </w:t>
            </w:r>
            <w:r w:rsidR="00BE3063">
              <w:rPr>
                <w:rFonts w:cs="Arial"/>
                <w:sz w:val="20"/>
                <w:szCs w:val="20"/>
              </w:rPr>
              <w:t xml:space="preserve">adopting all </w:t>
            </w:r>
            <w:r w:rsidR="00244955">
              <w:rPr>
                <w:rFonts w:cs="Arial"/>
                <w:sz w:val="20"/>
                <w:szCs w:val="20"/>
              </w:rPr>
              <w:t xml:space="preserve">commercial </w:t>
            </w:r>
            <w:r w:rsidR="00BE3063">
              <w:rPr>
                <w:rFonts w:cs="Arial"/>
                <w:sz w:val="20"/>
                <w:szCs w:val="20"/>
              </w:rPr>
              <w:t xml:space="preserve">DEER building types to </w:t>
            </w:r>
            <w:r w:rsidR="00CB531C">
              <w:rPr>
                <w:rFonts w:cs="Arial"/>
                <w:sz w:val="20"/>
                <w:szCs w:val="20"/>
              </w:rPr>
              <w:t>align with</w:t>
            </w:r>
            <w:r w:rsidR="00BE3063">
              <w:rPr>
                <w:rFonts w:cs="Arial"/>
                <w:sz w:val="20"/>
                <w:szCs w:val="20"/>
              </w:rPr>
              <w:t xml:space="preserve"> 2022 DEER Resolution E5082</w:t>
            </w:r>
            <w:r w:rsidR="00244955">
              <w:rPr>
                <w:rFonts w:cs="Arial"/>
                <w:sz w:val="20"/>
                <w:szCs w:val="20"/>
              </w:rPr>
              <w:t xml:space="preserve"> data collection per section</w:t>
            </w:r>
            <w:r w:rsidR="003216C4">
              <w:rPr>
                <w:rFonts w:cs="Arial"/>
                <w:sz w:val="20"/>
                <w:szCs w:val="20"/>
              </w:rPr>
              <w:t xml:space="preserve"> </w:t>
            </w:r>
            <w:proofErr w:type="gramStart"/>
            <w:r w:rsidR="003216C4">
              <w:rPr>
                <w:rFonts w:cs="Arial"/>
                <w:sz w:val="20"/>
                <w:szCs w:val="20"/>
              </w:rPr>
              <w:t>“ 4.1</w:t>
            </w:r>
            <w:proofErr w:type="gramEnd"/>
            <w:r w:rsidR="003216C4">
              <w:rPr>
                <w:rFonts w:cs="Arial"/>
                <w:sz w:val="20"/>
                <w:szCs w:val="20"/>
              </w:rPr>
              <w:t xml:space="preserve"> </w:t>
            </w:r>
            <w:r w:rsidR="00DC0BF2" w:rsidRPr="00DC0BF2">
              <w:rPr>
                <w:rFonts w:cs="Arial"/>
                <w:sz w:val="20"/>
                <w:szCs w:val="20"/>
              </w:rPr>
              <w:t>Add program tracking data and evaluation requirements to the deemed workpaper template</w:t>
            </w:r>
            <w:r w:rsidR="003E5FEC">
              <w:rPr>
                <w:rFonts w:cs="Arial"/>
                <w:sz w:val="20"/>
                <w:szCs w:val="20"/>
              </w:rPr>
              <w:t>”. R</w:t>
            </w:r>
            <w:r w:rsidR="000172FC">
              <w:rPr>
                <w:rFonts w:cs="Arial"/>
                <w:sz w:val="20"/>
                <w:szCs w:val="20"/>
              </w:rPr>
              <w:t xml:space="preserve">emoved </w:t>
            </w:r>
            <w:r w:rsidR="00C04311">
              <w:rPr>
                <w:rFonts w:cs="Arial"/>
                <w:sz w:val="20"/>
                <w:szCs w:val="20"/>
              </w:rPr>
              <w:t xml:space="preserve">the </w:t>
            </w:r>
            <w:proofErr w:type="spellStart"/>
            <w:r w:rsidR="00C04311">
              <w:rPr>
                <w:rFonts w:cs="Arial"/>
                <w:sz w:val="20"/>
                <w:szCs w:val="20"/>
              </w:rPr>
              <w:t>MeasureDataSpec</w:t>
            </w:r>
            <w:proofErr w:type="spellEnd"/>
            <w:r w:rsidR="00C04311">
              <w:rPr>
                <w:rFonts w:cs="Arial"/>
                <w:sz w:val="20"/>
                <w:szCs w:val="20"/>
              </w:rPr>
              <w:t>,</w:t>
            </w:r>
            <w:r w:rsidR="00AE5816">
              <w:rPr>
                <w:rFonts w:cs="Arial"/>
                <w:sz w:val="20"/>
                <w:szCs w:val="20"/>
              </w:rPr>
              <w:t xml:space="preserve"> f</w:t>
            </w:r>
            <w:r w:rsidR="00E475EF">
              <w:rPr>
                <w:rFonts w:cs="Arial"/>
                <w:sz w:val="20"/>
                <w:szCs w:val="20"/>
              </w:rPr>
              <w:t>rom</w:t>
            </w:r>
            <w:r w:rsidR="00AE5816">
              <w:rPr>
                <w:rFonts w:cs="Arial"/>
                <w:sz w:val="20"/>
                <w:szCs w:val="20"/>
              </w:rPr>
              <w:t xml:space="preserve"> </w:t>
            </w:r>
            <w:r w:rsidR="00C04311">
              <w:rPr>
                <w:rFonts w:cs="Arial"/>
                <w:sz w:val="20"/>
                <w:szCs w:val="20"/>
              </w:rPr>
              <w:t xml:space="preserve">this submission. </w:t>
            </w:r>
          </w:p>
        </w:tc>
      </w:tr>
      <w:bookmarkEnd w:id="84"/>
      <w:bookmarkEnd w:id="85"/>
      <w:bookmarkEnd w:id="86"/>
    </w:tbl>
    <w:p w14:paraId="5C9CAB2A" w14:textId="77777777" w:rsidR="00085726" w:rsidRDefault="00085726" w:rsidP="00387072"/>
    <w:sectPr w:rsidR="00085726" w:rsidSect="005F505E">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2D5D2" w14:textId="77777777" w:rsidR="00247073" w:rsidRDefault="00247073" w:rsidP="00A2690C">
      <w:r>
        <w:separator/>
      </w:r>
    </w:p>
    <w:p w14:paraId="20E1B587" w14:textId="77777777" w:rsidR="00247073" w:rsidRDefault="00247073"/>
  </w:endnote>
  <w:endnote w:type="continuationSeparator" w:id="0">
    <w:p w14:paraId="5BB5CB49" w14:textId="77777777" w:rsidR="00247073" w:rsidRDefault="00247073" w:rsidP="00A2690C">
      <w:r>
        <w:continuationSeparator/>
      </w:r>
    </w:p>
    <w:p w14:paraId="684489BB" w14:textId="77777777" w:rsidR="00247073" w:rsidRDefault="00247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8C015C" w:rsidRDefault="008C015C"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8C015C" w:rsidRPr="00B837C1" w:rsidRDefault="008C015C"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8C015C" w:rsidRDefault="008C015C"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8C015C" w:rsidRPr="00B837C1" w:rsidRDefault="008C015C"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8C015C" w:rsidRDefault="008C015C"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8C015C" w:rsidRPr="005F505E" w:rsidRDefault="008C015C"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10ABD" w14:textId="77777777" w:rsidR="00247073" w:rsidRDefault="00247073" w:rsidP="00A2690C">
      <w:r>
        <w:separator/>
      </w:r>
    </w:p>
    <w:p w14:paraId="4AC5CFD9" w14:textId="77777777" w:rsidR="00247073" w:rsidRDefault="00247073"/>
  </w:footnote>
  <w:footnote w:type="continuationSeparator" w:id="0">
    <w:p w14:paraId="670BA167" w14:textId="77777777" w:rsidR="00247073" w:rsidRDefault="00247073" w:rsidP="00A2690C">
      <w:r>
        <w:continuationSeparator/>
      </w:r>
    </w:p>
    <w:p w14:paraId="443BE7C0" w14:textId="77777777" w:rsidR="00247073" w:rsidRDefault="00247073"/>
  </w:footnote>
  <w:footnote w:id="1">
    <w:p w14:paraId="36CE4207" w14:textId="48DEAF3E" w:rsidR="008C015C" w:rsidRDefault="008C015C">
      <w:pPr>
        <w:pStyle w:val="FootnoteText"/>
      </w:pPr>
      <w:r>
        <w:rPr>
          <w:rStyle w:val="FootnoteReference"/>
        </w:rPr>
        <w:footnoteRef/>
      </w:r>
      <w:r>
        <w:t xml:space="preserve"> California Energy Commission (CEC). 2019. </w:t>
      </w:r>
      <w:r>
        <w:rPr>
          <w:rStyle w:val="Emphasis"/>
        </w:rPr>
        <w:t>California Code of Regulations Title 20</w:t>
      </w:r>
      <w:r>
        <w:t>. CEC-140-2019-002. January. Section 1605.1, Table C-4.</w:t>
      </w:r>
    </w:p>
    <w:p w14:paraId="21F5C41A" w14:textId="18065609" w:rsidR="008C015C" w:rsidRDefault="008C015C">
      <w:pPr>
        <w:pStyle w:val="FootnoteText"/>
      </w:pPr>
      <w:r>
        <w:t>Code of Federal Regulations at 10 CFR 431.97.</w:t>
      </w:r>
    </w:p>
    <w:p w14:paraId="461F4F51" w14:textId="67845335" w:rsidR="008C015C" w:rsidRDefault="008C015C">
      <w:pPr>
        <w:pStyle w:val="FootnoteText"/>
      </w:pPr>
      <w:r>
        <w:t>Code of Federal Regulations at 10 CFR 430.32.</w:t>
      </w:r>
    </w:p>
  </w:footnote>
  <w:footnote w:id="2">
    <w:p w14:paraId="7D9AE968" w14:textId="77777777" w:rsidR="008C015C" w:rsidRDefault="008C015C" w:rsidP="008F2505">
      <w:pPr>
        <w:pStyle w:val="FootnoteText"/>
      </w:pPr>
      <w:r>
        <w:rPr>
          <w:rStyle w:val="FootnoteReference"/>
        </w:rPr>
        <w:footnoteRef/>
      </w:r>
      <w:r>
        <w:t xml:space="preserve"> </w:t>
      </w:r>
      <w:proofErr w:type="spellStart"/>
      <w:r>
        <w:t>Itron</w:t>
      </w:r>
      <w:proofErr w:type="spellEnd"/>
      <w:r>
        <w:t xml:space="preserve">, Inc. 2014. </w:t>
      </w:r>
      <w:r>
        <w:rPr>
          <w:rStyle w:val="Emphasis"/>
        </w:rPr>
        <w:t xml:space="preserve">2010-2012 WO017 Ex Ante Measure Cost Study Final Report. </w:t>
      </w:r>
      <w:r>
        <w:t>Prepared for the California Public Utilities Commission. </w:t>
      </w:r>
    </w:p>
  </w:footnote>
  <w:footnote w:id="3">
    <w:p w14:paraId="5CCDE7D6" w14:textId="0F99AE42" w:rsidR="008C015C" w:rsidRDefault="008C015C" w:rsidP="008F2505">
      <w:pPr>
        <w:pStyle w:val="FootnoteText"/>
      </w:pPr>
      <w:r>
        <w:rPr>
          <w:rStyle w:val="FootnoteReference"/>
        </w:rPr>
        <w:footnoteRef/>
      </w:r>
      <w:r>
        <w:t xml:space="preserve"> Pacific Gas and Electric (PG&amp;E). 2017. “</w:t>
      </w:r>
      <w:r w:rsidRPr="005434A9">
        <w:t>SWHC014-01 Cost Calculations.xlsx</w:t>
      </w:r>
      <w:r>
        <w:t>.</w:t>
      </w:r>
      <w:r w:rsidRPr="005434A9">
        <w:t>”</w:t>
      </w:r>
    </w:p>
  </w:footnote>
  <w:footnote w:id="4">
    <w:p w14:paraId="32E654D8" w14:textId="77777777" w:rsidR="008C015C" w:rsidRDefault="008C015C" w:rsidP="008F2505">
      <w:pPr>
        <w:pStyle w:val="FootnoteText"/>
      </w:pPr>
      <w:r>
        <w:rPr>
          <w:rStyle w:val="FootnoteReference"/>
        </w:rPr>
        <w:footnoteRef/>
      </w:r>
      <w:r>
        <w:t xml:space="preserve"> </w:t>
      </w:r>
      <w:proofErr w:type="spellStart"/>
      <w:r>
        <w:t>Itron</w:t>
      </w:r>
      <w:proofErr w:type="spellEnd"/>
      <w:r>
        <w:t xml:space="preserve">, Inc. 2014. </w:t>
      </w:r>
      <w:r>
        <w:rPr>
          <w:rStyle w:val="Emphasis"/>
        </w:rPr>
        <w:t xml:space="preserve">2010-2012 WO017 Ex Ante Measure Cost Study Final Report. </w:t>
      </w:r>
      <w:r>
        <w:t>Prepared for the California Public Utilities Commission. </w:t>
      </w:r>
    </w:p>
  </w:footnote>
  <w:footnote w:id="5">
    <w:p w14:paraId="5EEC7592" w14:textId="77777777" w:rsidR="008C015C" w:rsidRDefault="008C015C" w:rsidP="005434A9">
      <w:pPr>
        <w:pStyle w:val="FootnoteText"/>
      </w:pPr>
      <w:r>
        <w:rPr>
          <w:rStyle w:val="FootnoteReference"/>
        </w:rPr>
        <w:footnoteRef/>
      </w:r>
      <w:r>
        <w:t xml:space="preserve"> Pacific Gas and Electric (PG&amp;E). 2017. “</w:t>
      </w:r>
      <w:r w:rsidRPr="005434A9">
        <w:t>SWHC014-01 Cost Calculations.xlsx</w:t>
      </w:r>
      <w:r>
        <w:t>.</w:t>
      </w:r>
      <w:r w:rsidRPr="005434A9">
        <w:t>”</w:t>
      </w:r>
    </w:p>
  </w:footnote>
  <w:footnote w:id="6">
    <w:p w14:paraId="18A1EEA7" w14:textId="3A5FF476" w:rsidR="00CC6501" w:rsidRDefault="00CC6501" w:rsidP="00CC6501">
      <w:pPr>
        <w:pStyle w:val="FootnoteText"/>
      </w:pPr>
      <w:r>
        <w:rPr>
          <w:rStyle w:val="FootnoteReference"/>
        </w:rPr>
        <w:footnoteRef/>
      </w:r>
      <w:r>
        <w:t xml:space="preserve"> DNV GL. 20</w:t>
      </w:r>
      <w:r w:rsidR="00F048BA">
        <w:t>20</w:t>
      </w:r>
      <w:r>
        <w:t xml:space="preserve">. </w:t>
      </w:r>
      <w:r w:rsidRPr="003C33E3">
        <w:rPr>
          <w:i/>
          <w:iCs/>
        </w:rPr>
        <w:t>Impact Evaluation of 201</w:t>
      </w:r>
      <w:r w:rsidR="00CF5628">
        <w:rPr>
          <w:i/>
          <w:iCs/>
        </w:rPr>
        <w:t>8</w:t>
      </w:r>
      <w:r w:rsidRPr="003C33E3">
        <w:rPr>
          <w:i/>
          <w:iCs/>
        </w:rPr>
        <w:t xml:space="preserve"> HVAC Programs (</w:t>
      </w:r>
      <w:r w:rsidR="0079696A">
        <w:rPr>
          <w:i/>
          <w:iCs/>
        </w:rPr>
        <w:t xml:space="preserve">Group A </w:t>
      </w:r>
      <w:r w:rsidRPr="003C33E3">
        <w:rPr>
          <w:i/>
          <w:iCs/>
        </w:rPr>
        <w:t xml:space="preserve">HVAC). </w:t>
      </w:r>
      <w:r>
        <w:t xml:space="preserve">Prepared for the California Public Utilities Commission (CPUC). April </w:t>
      </w:r>
      <w:r w:rsidR="00DA3318">
        <w:t>20</w:t>
      </w:r>
      <w:r w:rsidR="004E3B5D">
        <w:t>, 2020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8C015C" w:rsidRPr="000220A0" w:rsidRDefault="008C015C"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8C015C" w:rsidRDefault="008C015C">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Wingdings" w:eastAsia="Wingdings" w:hAnsi="Wingdings" w:cs="Wingdings"/>
        <w:color w:val="8DC63F"/>
      </w:rPr>
      <w:t>n</w:t>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8C015C" w:rsidRDefault="008C01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8C015C" w:rsidRDefault="008C015C" w:rsidP="00BD221D">
    <w:pPr>
      <w:jc w:val="center"/>
    </w:pPr>
  </w:p>
  <w:p w14:paraId="342310D5" w14:textId="5BACBCD8" w:rsidR="008C015C" w:rsidRDefault="008C015C" w:rsidP="00BD221D">
    <w:pPr>
      <w:jc w:val="center"/>
    </w:pPr>
    <w:r>
      <w:rPr>
        <w:noProof/>
      </w:rPr>
      <w:drawing>
        <wp:inline distT="0" distB="0" distL="0" distR="0" wp14:anchorId="4B2AF0A8" wp14:editId="072426F6">
          <wp:extent cx="937307" cy="1405961"/>
          <wp:effectExtent l="0" t="0" r="2540" b="0"/>
          <wp:docPr id="2079816629"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937307" cy="140596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5DB6236F" w:rsidR="008C015C" w:rsidRPr="00C503EE" w:rsidRDefault="008C015C" w:rsidP="001D7A57">
    <w:pPr>
      <w:pStyle w:val="Header"/>
    </w:pPr>
    <w:proofErr w:type="gramStart"/>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n</w:t>
    </w:r>
    <w:proofErr w:type="gramEnd"/>
    <w:r w:rsidRPr="000220A0">
      <w:rPr>
        <w:rFonts w:ascii="Calibri Light" w:hAnsi="Calibri Light"/>
      </w:rPr>
      <w:t xml:space="preserve">  </w:t>
    </w:r>
    <w:r w:rsidRPr="00C503EE">
      <w:rPr>
        <w:rFonts w:ascii="Calibri Light" w:hAnsi="Calibri Light" w:cs="Calibri Light"/>
        <w:b/>
      </w:rPr>
      <w:t xml:space="preserve">Unitary Air-Cooled </w:t>
    </w:r>
    <w:r>
      <w:rPr>
        <w:rFonts w:ascii="Calibri Light" w:hAnsi="Calibri Light" w:cs="Calibri Light"/>
        <w:b/>
      </w:rPr>
      <w:t xml:space="preserve">Air Conditioner or </w:t>
    </w:r>
    <w:r w:rsidRPr="00C503EE">
      <w:rPr>
        <w:rFonts w:ascii="Calibri Light" w:hAnsi="Calibri Light" w:cs="Calibri Light"/>
        <w:b/>
      </w:rPr>
      <w:t xml:space="preserve">Heat Pump, </w:t>
    </w:r>
    <w:r>
      <w:rPr>
        <w:rFonts w:ascii="Calibri Light" w:hAnsi="Calibri Light" w:cs="Calibri Light"/>
        <w:b/>
      </w:rPr>
      <w:t>&lt;</w:t>
    </w:r>
    <w:r w:rsidRPr="00C503EE">
      <w:rPr>
        <w:rFonts w:ascii="Calibri Light" w:hAnsi="Calibri Light" w:cs="Calibri Light"/>
        <w:b/>
      </w:rPr>
      <w:t xml:space="preserve"> 65 </w:t>
    </w:r>
    <w:proofErr w:type="spellStart"/>
    <w:r w:rsidRPr="00C503EE">
      <w:rPr>
        <w:rFonts w:ascii="Calibri Light" w:hAnsi="Calibri Light" w:cs="Calibri Light"/>
        <w:b/>
      </w:rPr>
      <w:t>kBtuh</w:t>
    </w:r>
    <w:proofErr w:type="spellEnd"/>
    <w:r w:rsidRPr="00C503EE">
      <w:rPr>
        <w:rFonts w:ascii="Calibri Light" w:hAnsi="Calibri Light" w:cs="Calibri Light"/>
        <w:b/>
      </w:rPr>
      <w:t>, Commercial</w:t>
    </w:r>
  </w:p>
  <w:p w14:paraId="2AC97B25" w14:textId="77777777" w:rsidR="008C015C" w:rsidRDefault="008C015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8C015C" w:rsidRDefault="008C0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3"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9"/>
  </w:num>
  <w:num w:numId="2">
    <w:abstractNumId w:val="15"/>
  </w:num>
  <w:num w:numId="3">
    <w:abstractNumId w:val="17"/>
  </w:num>
  <w:num w:numId="4">
    <w:abstractNumId w:val="17"/>
  </w:num>
  <w:num w:numId="5">
    <w:abstractNumId w:val="1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3"/>
  </w:num>
  <w:num w:numId="7">
    <w:abstractNumId w:val="6"/>
  </w:num>
  <w:num w:numId="8">
    <w:abstractNumId w:val="14"/>
  </w:num>
  <w:num w:numId="9">
    <w:abstractNumId w:val="0"/>
  </w:num>
  <w:num w:numId="10">
    <w:abstractNumId w:val="16"/>
  </w:num>
  <w:num w:numId="11">
    <w:abstractNumId w:val="7"/>
  </w:num>
  <w:num w:numId="12">
    <w:abstractNumId w:val="4"/>
  </w:num>
  <w:num w:numId="13">
    <w:abstractNumId w:val="13"/>
  </w:num>
  <w:num w:numId="14">
    <w:abstractNumId w:val="11"/>
  </w:num>
  <w:num w:numId="15">
    <w:abstractNumId w:val="5"/>
  </w:num>
  <w:num w:numId="16">
    <w:abstractNumId w:val="1"/>
  </w:num>
  <w:num w:numId="1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46E2"/>
    <w:rsid w:val="00005B06"/>
    <w:rsid w:val="000063B0"/>
    <w:rsid w:val="000110D9"/>
    <w:rsid w:val="000111AF"/>
    <w:rsid w:val="00016928"/>
    <w:rsid w:val="000172FC"/>
    <w:rsid w:val="000220A0"/>
    <w:rsid w:val="000229F1"/>
    <w:rsid w:val="0002389A"/>
    <w:rsid w:val="00026D58"/>
    <w:rsid w:val="000302DF"/>
    <w:rsid w:val="00031184"/>
    <w:rsid w:val="00037A06"/>
    <w:rsid w:val="00043B4D"/>
    <w:rsid w:val="00046BB0"/>
    <w:rsid w:val="00051DBB"/>
    <w:rsid w:val="00052C95"/>
    <w:rsid w:val="000530E4"/>
    <w:rsid w:val="0005417C"/>
    <w:rsid w:val="0005587A"/>
    <w:rsid w:val="00061D34"/>
    <w:rsid w:val="000621A8"/>
    <w:rsid w:val="00064F12"/>
    <w:rsid w:val="00065E54"/>
    <w:rsid w:val="000672E5"/>
    <w:rsid w:val="00071BB7"/>
    <w:rsid w:val="00072BB5"/>
    <w:rsid w:val="00074E3E"/>
    <w:rsid w:val="0007565C"/>
    <w:rsid w:val="00075804"/>
    <w:rsid w:val="000767E9"/>
    <w:rsid w:val="0008108C"/>
    <w:rsid w:val="000841AA"/>
    <w:rsid w:val="00084EDF"/>
    <w:rsid w:val="00085726"/>
    <w:rsid w:val="00087FD4"/>
    <w:rsid w:val="00090BBF"/>
    <w:rsid w:val="000910B7"/>
    <w:rsid w:val="00091581"/>
    <w:rsid w:val="00094517"/>
    <w:rsid w:val="00096485"/>
    <w:rsid w:val="000978C8"/>
    <w:rsid w:val="000A270E"/>
    <w:rsid w:val="000A4D3A"/>
    <w:rsid w:val="000A62EF"/>
    <w:rsid w:val="000A66B7"/>
    <w:rsid w:val="000A7058"/>
    <w:rsid w:val="000B139B"/>
    <w:rsid w:val="000B6004"/>
    <w:rsid w:val="000C1273"/>
    <w:rsid w:val="000C36B4"/>
    <w:rsid w:val="000C72C1"/>
    <w:rsid w:val="000C7B77"/>
    <w:rsid w:val="000E044A"/>
    <w:rsid w:val="000F1833"/>
    <w:rsid w:val="0010084F"/>
    <w:rsid w:val="00103399"/>
    <w:rsid w:val="0010471F"/>
    <w:rsid w:val="00104833"/>
    <w:rsid w:val="00104933"/>
    <w:rsid w:val="00111A53"/>
    <w:rsid w:val="00112AAF"/>
    <w:rsid w:val="0011498C"/>
    <w:rsid w:val="00120592"/>
    <w:rsid w:val="001217DF"/>
    <w:rsid w:val="0012187D"/>
    <w:rsid w:val="00124BFE"/>
    <w:rsid w:val="00126809"/>
    <w:rsid w:val="00126B25"/>
    <w:rsid w:val="00131C5A"/>
    <w:rsid w:val="00132E1A"/>
    <w:rsid w:val="00142D3C"/>
    <w:rsid w:val="001451AB"/>
    <w:rsid w:val="00151B9F"/>
    <w:rsid w:val="00153BB7"/>
    <w:rsid w:val="00154391"/>
    <w:rsid w:val="001564FC"/>
    <w:rsid w:val="00157985"/>
    <w:rsid w:val="00161482"/>
    <w:rsid w:val="00161DF1"/>
    <w:rsid w:val="001648F6"/>
    <w:rsid w:val="001657F5"/>
    <w:rsid w:val="00171BB8"/>
    <w:rsid w:val="00174707"/>
    <w:rsid w:val="00177EB6"/>
    <w:rsid w:val="00180DAD"/>
    <w:rsid w:val="00181672"/>
    <w:rsid w:val="00181E01"/>
    <w:rsid w:val="001837DA"/>
    <w:rsid w:val="001944A0"/>
    <w:rsid w:val="001944B4"/>
    <w:rsid w:val="00195B03"/>
    <w:rsid w:val="00196649"/>
    <w:rsid w:val="0019703A"/>
    <w:rsid w:val="001A11C7"/>
    <w:rsid w:val="001A4BE1"/>
    <w:rsid w:val="001A7A21"/>
    <w:rsid w:val="001B0D29"/>
    <w:rsid w:val="001B1D23"/>
    <w:rsid w:val="001B426F"/>
    <w:rsid w:val="001B4CA6"/>
    <w:rsid w:val="001B5631"/>
    <w:rsid w:val="001C2ACE"/>
    <w:rsid w:val="001C6C9B"/>
    <w:rsid w:val="001C7134"/>
    <w:rsid w:val="001D656F"/>
    <w:rsid w:val="001D65A6"/>
    <w:rsid w:val="001D7A57"/>
    <w:rsid w:val="001E19A3"/>
    <w:rsid w:val="001E4C3F"/>
    <w:rsid w:val="001E6273"/>
    <w:rsid w:val="001F00E9"/>
    <w:rsid w:val="001F0BC0"/>
    <w:rsid w:val="001F735E"/>
    <w:rsid w:val="001F7982"/>
    <w:rsid w:val="002005A8"/>
    <w:rsid w:val="002006B6"/>
    <w:rsid w:val="00205BAF"/>
    <w:rsid w:val="00205E98"/>
    <w:rsid w:val="00207F85"/>
    <w:rsid w:val="0021226A"/>
    <w:rsid w:val="0021230E"/>
    <w:rsid w:val="0022244E"/>
    <w:rsid w:val="00224A16"/>
    <w:rsid w:val="00225142"/>
    <w:rsid w:val="00226694"/>
    <w:rsid w:val="00227BDD"/>
    <w:rsid w:val="002318A4"/>
    <w:rsid w:val="002335FF"/>
    <w:rsid w:val="00233D87"/>
    <w:rsid w:val="0023666C"/>
    <w:rsid w:val="00236692"/>
    <w:rsid w:val="00236E0A"/>
    <w:rsid w:val="00237964"/>
    <w:rsid w:val="002434DE"/>
    <w:rsid w:val="00244955"/>
    <w:rsid w:val="00245AFF"/>
    <w:rsid w:val="0024628D"/>
    <w:rsid w:val="0024690E"/>
    <w:rsid w:val="00247073"/>
    <w:rsid w:val="00251ABC"/>
    <w:rsid w:val="002524CF"/>
    <w:rsid w:val="00255113"/>
    <w:rsid w:val="00256400"/>
    <w:rsid w:val="002652D2"/>
    <w:rsid w:val="00271B18"/>
    <w:rsid w:val="00276F9B"/>
    <w:rsid w:val="002942B0"/>
    <w:rsid w:val="0029555D"/>
    <w:rsid w:val="0029781E"/>
    <w:rsid w:val="002A1953"/>
    <w:rsid w:val="002A2471"/>
    <w:rsid w:val="002A24E2"/>
    <w:rsid w:val="002A2A94"/>
    <w:rsid w:val="002B107C"/>
    <w:rsid w:val="002B2C97"/>
    <w:rsid w:val="002B3BF4"/>
    <w:rsid w:val="002B55DD"/>
    <w:rsid w:val="002B6DED"/>
    <w:rsid w:val="002B6F2A"/>
    <w:rsid w:val="002C06FC"/>
    <w:rsid w:val="002C1117"/>
    <w:rsid w:val="002C3728"/>
    <w:rsid w:val="002C67DF"/>
    <w:rsid w:val="002D0036"/>
    <w:rsid w:val="002D17CE"/>
    <w:rsid w:val="002D29F8"/>
    <w:rsid w:val="002D40EE"/>
    <w:rsid w:val="002D4993"/>
    <w:rsid w:val="002D50E9"/>
    <w:rsid w:val="002D5CFA"/>
    <w:rsid w:val="002E0B15"/>
    <w:rsid w:val="002E5874"/>
    <w:rsid w:val="002F036B"/>
    <w:rsid w:val="002F1E06"/>
    <w:rsid w:val="002F7042"/>
    <w:rsid w:val="00302A82"/>
    <w:rsid w:val="00304892"/>
    <w:rsid w:val="003103FB"/>
    <w:rsid w:val="00313E1D"/>
    <w:rsid w:val="00315B02"/>
    <w:rsid w:val="00316CC9"/>
    <w:rsid w:val="003216C4"/>
    <w:rsid w:val="00321BD4"/>
    <w:rsid w:val="003247FA"/>
    <w:rsid w:val="003309DA"/>
    <w:rsid w:val="003312F7"/>
    <w:rsid w:val="003326EC"/>
    <w:rsid w:val="00333809"/>
    <w:rsid w:val="00336313"/>
    <w:rsid w:val="00337D1D"/>
    <w:rsid w:val="0035060F"/>
    <w:rsid w:val="00352864"/>
    <w:rsid w:val="00362F9E"/>
    <w:rsid w:val="00363BE8"/>
    <w:rsid w:val="00370B5D"/>
    <w:rsid w:val="00372F61"/>
    <w:rsid w:val="003817A2"/>
    <w:rsid w:val="00385069"/>
    <w:rsid w:val="00386A29"/>
    <w:rsid w:val="00387072"/>
    <w:rsid w:val="0039148C"/>
    <w:rsid w:val="00392097"/>
    <w:rsid w:val="00392684"/>
    <w:rsid w:val="003B1CF0"/>
    <w:rsid w:val="003B7610"/>
    <w:rsid w:val="003C2CC3"/>
    <w:rsid w:val="003C32CB"/>
    <w:rsid w:val="003C3614"/>
    <w:rsid w:val="003C7721"/>
    <w:rsid w:val="003D1FB8"/>
    <w:rsid w:val="003D7104"/>
    <w:rsid w:val="003E2013"/>
    <w:rsid w:val="003E50CF"/>
    <w:rsid w:val="003E5605"/>
    <w:rsid w:val="003E5FEC"/>
    <w:rsid w:val="003E7BC6"/>
    <w:rsid w:val="003F21D2"/>
    <w:rsid w:val="003F269E"/>
    <w:rsid w:val="003F4964"/>
    <w:rsid w:val="003F65F3"/>
    <w:rsid w:val="00401C43"/>
    <w:rsid w:val="004046FF"/>
    <w:rsid w:val="00406A8A"/>
    <w:rsid w:val="00410790"/>
    <w:rsid w:val="00411EF4"/>
    <w:rsid w:val="004133BB"/>
    <w:rsid w:val="004142EF"/>
    <w:rsid w:val="004155AB"/>
    <w:rsid w:val="00420958"/>
    <w:rsid w:val="00420EF1"/>
    <w:rsid w:val="00421770"/>
    <w:rsid w:val="00421920"/>
    <w:rsid w:val="00422A06"/>
    <w:rsid w:val="00423D33"/>
    <w:rsid w:val="004249A0"/>
    <w:rsid w:val="0043155E"/>
    <w:rsid w:val="00432D49"/>
    <w:rsid w:val="004335ED"/>
    <w:rsid w:val="00433777"/>
    <w:rsid w:val="004339EA"/>
    <w:rsid w:val="00433E8F"/>
    <w:rsid w:val="00434145"/>
    <w:rsid w:val="0044012E"/>
    <w:rsid w:val="0044013C"/>
    <w:rsid w:val="0044577B"/>
    <w:rsid w:val="00446053"/>
    <w:rsid w:val="00451588"/>
    <w:rsid w:val="004517F1"/>
    <w:rsid w:val="00451FF6"/>
    <w:rsid w:val="004556DF"/>
    <w:rsid w:val="00461AE3"/>
    <w:rsid w:val="00462BB6"/>
    <w:rsid w:val="004643AE"/>
    <w:rsid w:val="00464A63"/>
    <w:rsid w:val="00466DD6"/>
    <w:rsid w:val="00470670"/>
    <w:rsid w:val="00472286"/>
    <w:rsid w:val="00475A47"/>
    <w:rsid w:val="00475D57"/>
    <w:rsid w:val="00484536"/>
    <w:rsid w:val="00484CA2"/>
    <w:rsid w:val="00486585"/>
    <w:rsid w:val="004930FD"/>
    <w:rsid w:val="0049615E"/>
    <w:rsid w:val="00497289"/>
    <w:rsid w:val="004A06AE"/>
    <w:rsid w:val="004A43C0"/>
    <w:rsid w:val="004A510D"/>
    <w:rsid w:val="004A69A9"/>
    <w:rsid w:val="004B06E3"/>
    <w:rsid w:val="004B35DC"/>
    <w:rsid w:val="004B5888"/>
    <w:rsid w:val="004B5EA8"/>
    <w:rsid w:val="004B6780"/>
    <w:rsid w:val="004B7CAA"/>
    <w:rsid w:val="004C2A36"/>
    <w:rsid w:val="004C3663"/>
    <w:rsid w:val="004C57EC"/>
    <w:rsid w:val="004C5970"/>
    <w:rsid w:val="004C69F2"/>
    <w:rsid w:val="004D0C20"/>
    <w:rsid w:val="004D1461"/>
    <w:rsid w:val="004D2B25"/>
    <w:rsid w:val="004D3A71"/>
    <w:rsid w:val="004D3CE4"/>
    <w:rsid w:val="004D7E51"/>
    <w:rsid w:val="004E04EE"/>
    <w:rsid w:val="004E1B37"/>
    <w:rsid w:val="004E2704"/>
    <w:rsid w:val="004E3B5D"/>
    <w:rsid w:val="004E3F72"/>
    <w:rsid w:val="004E4D01"/>
    <w:rsid w:val="004F1162"/>
    <w:rsid w:val="004F705B"/>
    <w:rsid w:val="004F70BC"/>
    <w:rsid w:val="00500964"/>
    <w:rsid w:val="00500C66"/>
    <w:rsid w:val="00505B94"/>
    <w:rsid w:val="005068FD"/>
    <w:rsid w:val="005130EC"/>
    <w:rsid w:val="005146E6"/>
    <w:rsid w:val="00535A42"/>
    <w:rsid w:val="0053748E"/>
    <w:rsid w:val="005434A9"/>
    <w:rsid w:val="00543FE7"/>
    <w:rsid w:val="005449C6"/>
    <w:rsid w:val="0054736B"/>
    <w:rsid w:val="00556261"/>
    <w:rsid w:val="0056177B"/>
    <w:rsid w:val="0056381B"/>
    <w:rsid w:val="00563F13"/>
    <w:rsid w:val="00566B42"/>
    <w:rsid w:val="0057165C"/>
    <w:rsid w:val="00571D95"/>
    <w:rsid w:val="005722C6"/>
    <w:rsid w:val="00580FF8"/>
    <w:rsid w:val="00585C8D"/>
    <w:rsid w:val="005862CC"/>
    <w:rsid w:val="005911FE"/>
    <w:rsid w:val="0059312F"/>
    <w:rsid w:val="00593220"/>
    <w:rsid w:val="0059380C"/>
    <w:rsid w:val="005943BC"/>
    <w:rsid w:val="00595758"/>
    <w:rsid w:val="00596081"/>
    <w:rsid w:val="005A3943"/>
    <w:rsid w:val="005A3DF9"/>
    <w:rsid w:val="005A410A"/>
    <w:rsid w:val="005A41FC"/>
    <w:rsid w:val="005A51E6"/>
    <w:rsid w:val="005A632E"/>
    <w:rsid w:val="005A74DC"/>
    <w:rsid w:val="005B7418"/>
    <w:rsid w:val="005C03A9"/>
    <w:rsid w:val="005C1D6E"/>
    <w:rsid w:val="005C2BFC"/>
    <w:rsid w:val="005C324B"/>
    <w:rsid w:val="005C43E2"/>
    <w:rsid w:val="005C454A"/>
    <w:rsid w:val="005C74C9"/>
    <w:rsid w:val="005C7D6F"/>
    <w:rsid w:val="005D05C5"/>
    <w:rsid w:val="005D1B14"/>
    <w:rsid w:val="005D257B"/>
    <w:rsid w:val="005E1D5C"/>
    <w:rsid w:val="005E25DC"/>
    <w:rsid w:val="005E52AE"/>
    <w:rsid w:val="005E5607"/>
    <w:rsid w:val="005E567C"/>
    <w:rsid w:val="005E7066"/>
    <w:rsid w:val="005F31A6"/>
    <w:rsid w:val="005F505E"/>
    <w:rsid w:val="00602976"/>
    <w:rsid w:val="0060388D"/>
    <w:rsid w:val="00604231"/>
    <w:rsid w:val="006068F3"/>
    <w:rsid w:val="00610C2F"/>
    <w:rsid w:val="0061591D"/>
    <w:rsid w:val="0062187C"/>
    <w:rsid w:val="006239BC"/>
    <w:rsid w:val="006249B9"/>
    <w:rsid w:val="00624D23"/>
    <w:rsid w:val="00625805"/>
    <w:rsid w:val="00627AC4"/>
    <w:rsid w:val="0063231A"/>
    <w:rsid w:val="0063253B"/>
    <w:rsid w:val="006363C8"/>
    <w:rsid w:val="006366BC"/>
    <w:rsid w:val="00636AE6"/>
    <w:rsid w:val="00637346"/>
    <w:rsid w:val="00637AB8"/>
    <w:rsid w:val="006401BC"/>
    <w:rsid w:val="0064370D"/>
    <w:rsid w:val="00643771"/>
    <w:rsid w:val="00644946"/>
    <w:rsid w:val="00646AB8"/>
    <w:rsid w:val="00647BD9"/>
    <w:rsid w:val="00654A3E"/>
    <w:rsid w:val="00657C37"/>
    <w:rsid w:val="006624A7"/>
    <w:rsid w:val="0066515F"/>
    <w:rsid w:val="006663E9"/>
    <w:rsid w:val="006668AF"/>
    <w:rsid w:val="00666FDB"/>
    <w:rsid w:val="00670A7E"/>
    <w:rsid w:val="0067278C"/>
    <w:rsid w:val="00676DAA"/>
    <w:rsid w:val="0068572A"/>
    <w:rsid w:val="00686439"/>
    <w:rsid w:val="00696B91"/>
    <w:rsid w:val="00697A88"/>
    <w:rsid w:val="00697CF1"/>
    <w:rsid w:val="006A6051"/>
    <w:rsid w:val="006B31D9"/>
    <w:rsid w:val="006C0102"/>
    <w:rsid w:val="006C07D4"/>
    <w:rsid w:val="006C41AD"/>
    <w:rsid w:val="006D04BD"/>
    <w:rsid w:val="006D1E0D"/>
    <w:rsid w:val="006D47EF"/>
    <w:rsid w:val="006D6644"/>
    <w:rsid w:val="006D7180"/>
    <w:rsid w:val="006E433B"/>
    <w:rsid w:val="006E7899"/>
    <w:rsid w:val="006E7C78"/>
    <w:rsid w:val="006F27F4"/>
    <w:rsid w:val="006F2E23"/>
    <w:rsid w:val="006F3148"/>
    <w:rsid w:val="006F3896"/>
    <w:rsid w:val="006F3F0C"/>
    <w:rsid w:val="006F4C30"/>
    <w:rsid w:val="006F7024"/>
    <w:rsid w:val="00703A7C"/>
    <w:rsid w:val="00705C5A"/>
    <w:rsid w:val="007076DA"/>
    <w:rsid w:val="00707860"/>
    <w:rsid w:val="00710217"/>
    <w:rsid w:val="00713E15"/>
    <w:rsid w:val="00717131"/>
    <w:rsid w:val="00717AA0"/>
    <w:rsid w:val="007207BF"/>
    <w:rsid w:val="00725CB0"/>
    <w:rsid w:val="0073517D"/>
    <w:rsid w:val="0073685C"/>
    <w:rsid w:val="00737EA5"/>
    <w:rsid w:val="007400AE"/>
    <w:rsid w:val="00741F3E"/>
    <w:rsid w:val="00742F88"/>
    <w:rsid w:val="00743AA8"/>
    <w:rsid w:val="00750840"/>
    <w:rsid w:val="00751068"/>
    <w:rsid w:val="00755258"/>
    <w:rsid w:val="00757617"/>
    <w:rsid w:val="007614EB"/>
    <w:rsid w:val="0076370E"/>
    <w:rsid w:val="00763AD8"/>
    <w:rsid w:val="00765016"/>
    <w:rsid w:val="00767EDE"/>
    <w:rsid w:val="0077100C"/>
    <w:rsid w:val="00776C39"/>
    <w:rsid w:val="00781D00"/>
    <w:rsid w:val="007864C8"/>
    <w:rsid w:val="007900F3"/>
    <w:rsid w:val="00791B69"/>
    <w:rsid w:val="00793766"/>
    <w:rsid w:val="0079498E"/>
    <w:rsid w:val="0079696A"/>
    <w:rsid w:val="00796ED9"/>
    <w:rsid w:val="00796F10"/>
    <w:rsid w:val="007A0FA1"/>
    <w:rsid w:val="007A6AB5"/>
    <w:rsid w:val="007A6C67"/>
    <w:rsid w:val="007B14D9"/>
    <w:rsid w:val="007B2B46"/>
    <w:rsid w:val="007B30F2"/>
    <w:rsid w:val="007B377F"/>
    <w:rsid w:val="007B4274"/>
    <w:rsid w:val="007B443D"/>
    <w:rsid w:val="007B5117"/>
    <w:rsid w:val="007B599D"/>
    <w:rsid w:val="007B6650"/>
    <w:rsid w:val="007B6A74"/>
    <w:rsid w:val="007C2DC8"/>
    <w:rsid w:val="007C4FFB"/>
    <w:rsid w:val="007D097E"/>
    <w:rsid w:val="007D230B"/>
    <w:rsid w:val="007D2D80"/>
    <w:rsid w:val="007D3681"/>
    <w:rsid w:val="007D3824"/>
    <w:rsid w:val="007D49A1"/>
    <w:rsid w:val="007D59DD"/>
    <w:rsid w:val="007E1F66"/>
    <w:rsid w:val="007E2AA7"/>
    <w:rsid w:val="007E2CB5"/>
    <w:rsid w:val="007E4C10"/>
    <w:rsid w:val="007E6501"/>
    <w:rsid w:val="007E6C25"/>
    <w:rsid w:val="007F32D7"/>
    <w:rsid w:val="007F4F97"/>
    <w:rsid w:val="007F669E"/>
    <w:rsid w:val="00801632"/>
    <w:rsid w:val="0080520B"/>
    <w:rsid w:val="00807B3E"/>
    <w:rsid w:val="00810D4A"/>
    <w:rsid w:val="00812F82"/>
    <w:rsid w:val="008146FD"/>
    <w:rsid w:val="00816AAB"/>
    <w:rsid w:val="00820402"/>
    <w:rsid w:val="008243B2"/>
    <w:rsid w:val="00824F08"/>
    <w:rsid w:val="008310DF"/>
    <w:rsid w:val="00831105"/>
    <w:rsid w:val="0083231D"/>
    <w:rsid w:val="008342A9"/>
    <w:rsid w:val="00835487"/>
    <w:rsid w:val="00844A4B"/>
    <w:rsid w:val="00851098"/>
    <w:rsid w:val="0085457C"/>
    <w:rsid w:val="00854676"/>
    <w:rsid w:val="00865296"/>
    <w:rsid w:val="00867086"/>
    <w:rsid w:val="00871123"/>
    <w:rsid w:val="00874663"/>
    <w:rsid w:val="0087649F"/>
    <w:rsid w:val="00881B95"/>
    <w:rsid w:val="008831CA"/>
    <w:rsid w:val="00887FDA"/>
    <w:rsid w:val="008900E7"/>
    <w:rsid w:val="0089272A"/>
    <w:rsid w:val="00894890"/>
    <w:rsid w:val="00897247"/>
    <w:rsid w:val="00897F41"/>
    <w:rsid w:val="008B08F0"/>
    <w:rsid w:val="008B262C"/>
    <w:rsid w:val="008B2DAD"/>
    <w:rsid w:val="008B4F79"/>
    <w:rsid w:val="008B6FC8"/>
    <w:rsid w:val="008C015C"/>
    <w:rsid w:val="008C19E9"/>
    <w:rsid w:val="008C26E9"/>
    <w:rsid w:val="008C774E"/>
    <w:rsid w:val="008D3B72"/>
    <w:rsid w:val="008D4652"/>
    <w:rsid w:val="008D6D9D"/>
    <w:rsid w:val="008F1691"/>
    <w:rsid w:val="008F22E2"/>
    <w:rsid w:val="008F2505"/>
    <w:rsid w:val="008F5698"/>
    <w:rsid w:val="008F639E"/>
    <w:rsid w:val="00901EF2"/>
    <w:rsid w:val="00903EB6"/>
    <w:rsid w:val="00904906"/>
    <w:rsid w:val="0090702F"/>
    <w:rsid w:val="009079D0"/>
    <w:rsid w:val="00913D0A"/>
    <w:rsid w:val="00913D23"/>
    <w:rsid w:val="009148A1"/>
    <w:rsid w:val="00914C43"/>
    <w:rsid w:val="00924972"/>
    <w:rsid w:val="009309D7"/>
    <w:rsid w:val="00932E1E"/>
    <w:rsid w:val="00934068"/>
    <w:rsid w:val="0093547A"/>
    <w:rsid w:val="00936348"/>
    <w:rsid w:val="00937854"/>
    <w:rsid w:val="009400F4"/>
    <w:rsid w:val="009469E0"/>
    <w:rsid w:val="00951C4D"/>
    <w:rsid w:val="00952E03"/>
    <w:rsid w:val="0095396E"/>
    <w:rsid w:val="00954781"/>
    <w:rsid w:val="009547E2"/>
    <w:rsid w:val="00956488"/>
    <w:rsid w:val="00956F5F"/>
    <w:rsid w:val="009610DC"/>
    <w:rsid w:val="00961B2F"/>
    <w:rsid w:val="009669D2"/>
    <w:rsid w:val="0097154F"/>
    <w:rsid w:val="009803B7"/>
    <w:rsid w:val="0098457F"/>
    <w:rsid w:val="00985996"/>
    <w:rsid w:val="00986978"/>
    <w:rsid w:val="00994F74"/>
    <w:rsid w:val="0099563A"/>
    <w:rsid w:val="009A13F4"/>
    <w:rsid w:val="009A44BE"/>
    <w:rsid w:val="009B029F"/>
    <w:rsid w:val="009B176A"/>
    <w:rsid w:val="009B27F8"/>
    <w:rsid w:val="009B4A8B"/>
    <w:rsid w:val="009B74FB"/>
    <w:rsid w:val="009B7A79"/>
    <w:rsid w:val="009C0660"/>
    <w:rsid w:val="009C31A4"/>
    <w:rsid w:val="009C4845"/>
    <w:rsid w:val="009C7314"/>
    <w:rsid w:val="009D22F9"/>
    <w:rsid w:val="009D2442"/>
    <w:rsid w:val="009D5D9F"/>
    <w:rsid w:val="009D7F4D"/>
    <w:rsid w:val="009E0FA2"/>
    <w:rsid w:val="009E2244"/>
    <w:rsid w:val="009E2D42"/>
    <w:rsid w:val="009E57DF"/>
    <w:rsid w:val="009F57FD"/>
    <w:rsid w:val="009F7F9F"/>
    <w:rsid w:val="00A01E02"/>
    <w:rsid w:val="00A02E26"/>
    <w:rsid w:val="00A05BA0"/>
    <w:rsid w:val="00A10C74"/>
    <w:rsid w:val="00A159C9"/>
    <w:rsid w:val="00A167FB"/>
    <w:rsid w:val="00A168CF"/>
    <w:rsid w:val="00A21B70"/>
    <w:rsid w:val="00A21D02"/>
    <w:rsid w:val="00A21DDB"/>
    <w:rsid w:val="00A23CF6"/>
    <w:rsid w:val="00A2690C"/>
    <w:rsid w:val="00A2792F"/>
    <w:rsid w:val="00A300E3"/>
    <w:rsid w:val="00A30970"/>
    <w:rsid w:val="00A315E4"/>
    <w:rsid w:val="00A31D96"/>
    <w:rsid w:val="00A31FEE"/>
    <w:rsid w:val="00A33722"/>
    <w:rsid w:val="00A33C55"/>
    <w:rsid w:val="00A406C3"/>
    <w:rsid w:val="00A42875"/>
    <w:rsid w:val="00A44DC1"/>
    <w:rsid w:val="00A47168"/>
    <w:rsid w:val="00A47A98"/>
    <w:rsid w:val="00A47EE7"/>
    <w:rsid w:val="00A50B43"/>
    <w:rsid w:val="00A51C87"/>
    <w:rsid w:val="00A54197"/>
    <w:rsid w:val="00A61821"/>
    <w:rsid w:val="00A61E3A"/>
    <w:rsid w:val="00A62250"/>
    <w:rsid w:val="00A62E7B"/>
    <w:rsid w:val="00A631BA"/>
    <w:rsid w:val="00A65C27"/>
    <w:rsid w:val="00A6668F"/>
    <w:rsid w:val="00A67CA5"/>
    <w:rsid w:val="00A75CCD"/>
    <w:rsid w:val="00A80506"/>
    <w:rsid w:val="00A806AE"/>
    <w:rsid w:val="00A8118F"/>
    <w:rsid w:val="00A83458"/>
    <w:rsid w:val="00A86C41"/>
    <w:rsid w:val="00A90148"/>
    <w:rsid w:val="00A917F8"/>
    <w:rsid w:val="00A91CE8"/>
    <w:rsid w:val="00A9552A"/>
    <w:rsid w:val="00AA0D8C"/>
    <w:rsid w:val="00AA25BC"/>
    <w:rsid w:val="00AA3077"/>
    <w:rsid w:val="00AA3E2A"/>
    <w:rsid w:val="00AA46AF"/>
    <w:rsid w:val="00AA5AE7"/>
    <w:rsid w:val="00AB4E9E"/>
    <w:rsid w:val="00AB6C99"/>
    <w:rsid w:val="00AC11D5"/>
    <w:rsid w:val="00AC15E5"/>
    <w:rsid w:val="00AC22BB"/>
    <w:rsid w:val="00AC4080"/>
    <w:rsid w:val="00AC5A6D"/>
    <w:rsid w:val="00AC5D73"/>
    <w:rsid w:val="00AC72D3"/>
    <w:rsid w:val="00AC73AD"/>
    <w:rsid w:val="00AC7BED"/>
    <w:rsid w:val="00AD067D"/>
    <w:rsid w:val="00AD5FFD"/>
    <w:rsid w:val="00AD705A"/>
    <w:rsid w:val="00AD78F9"/>
    <w:rsid w:val="00AE008D"/>
    <w:rsid w:val="00AE30E0"/>
    <w:rsid w:val="00AE346F"/>
    <w:rsid w:val="00AE3AD5"/>
    <w:rsid w:val="00AE5816"/>
    <w:rsid w:val="00AF2329"/>
    <w:rsid w:val="00AF3478"/>
    <w:rsid w:val="00AF3660"/>
    <w:rsid w:val="00AF7A20"/>
    <w:rsid w:val="00B01312"/>
    <w:rsid w:val="00B02D98"/>
    <w:rsid w:val="00B06685"/>
    <w:rsid w:val="00B15D2F"/>
    <w:rsid w:val="00B16399"/>
    <w:rsid w:val="00B174FF"/>
    <w:rsid w:val="00B1760F"/>
    <w:rsid w:val="00B2586D"/>
    <w:rsid w:val="00B25AE4"/>
    <w:rsid w:val="00B265C9"/>
    <w:rsid w:val="00B26909"/>
    <w:rsid w:val="00B27664"/>
    <w:rsid w:val="00B31169"/>
    <w:rsid w:val="00B31828"/>
    <w:rsid w:val="00B33F08"/>
    <w:rsid w:val="00B37D8A"/>
    <w:rsid w:val="00B41E25"/>
    <w:rsid w:val="00B42BEE"/>
    <w:rsid w:val="00B452B7"/>
    <w:rsid w:val="00B45771"/>
    <w:rsid w:val="00B458E3"/>
    <w:rsid w:val="00B50E5C"/>
    <w:rsid w:val="00B518FF"/>
    <w:rsid w:val="00B5442B"/>
    <w:rsid w:val="00B54F17"/>
    <w:rsid w:val="00B558BB"/>
    <w:rsid w:val="00B561EE"/>
    <w:rsid w:val="00B563FF"/>
    <w:rsid w:val="00B57D47"/>
    <w:rsid w:val="00B61584"/>
    <w:rsid w:val="00B6210E"/>
    <w:rsid w:val="00B632E3"/>
    <w:rsid w:val="00B64DC8"/>
    <w:rsid w:val="00B70688"/>
    <w:rsid w:val="00B75FD9"/>
    <w:rsid w:val="00B77091"/>
    <w:rsid w:val="00B82F95"/>
    <w:rsid w:val="00B837C1"/>
    <w:rsid w:val="00B841E0"/>
    <w:rsid w:val="00B860BA"/>
    <w:rsid w:val="00B865F5"/>
    <w:rsid w:val="00B870A0"/>
    <w:rsid w:val="00B91DFE"/>
    <w:rsid w:val="00B92858"/>
    <w:rsid w:val="00B966E9"/>
    <w:rsid w:val="00B96BC7"/>
    <w:rsid w:val="00B97229"/>
    <w:rsid w:val="00BA08A3"/>
    <w:rsid w:val="00BA3D7D"/>
    <w:rsid w:val="00BA5AB3"/>
    <w:rsid w:val="00BA7F36"/>
    <w:rsid w:val="00BB227E"/>
    <w:rsid w:val="00BB3E6A"/>
    <w:rsid w:val="00BB4F22"/>
    <w:rsid w:val="00BB7E3D"/>
    <w:rsid w:val="00BC3CD1"/>
    <w:rsid w:val="00BC5EC6"/>
    <w:rsid w:val="00BC5F0E"/>
    <w:rsid w:val="00BD2211"/>
    <w:rsid w:val="00BD221D"/>
    <w:rsid w:val="00BD3E65"/>
    <w:rsid w:val="00BD5934"/>
    <w:rsid w:val="00BD7785"/>
    <w:rsid w:val="00BE3063"/>
    <w:rsid w:val="00BE3B2E"/>
    <w:rsid w:val="00BE4289"/>
    <w:rsid w:val="00BE766F"/>
    <w:rsid w:val="00BE7DE8"/>
    <w:rsid w:val="00BF1CBD"/>
    <w:rsid w:val="00BF2FA4"/>
    <w:rsid w:val="00BF52C4"/>
    <w:rsid w:val="00BF62EC"/>
    <w:rsid w:val="00C006BE"/>
    <w:rsid w:val="00C03726"/>
    <w:rsid w:val="00C04311"/>
    <w:rsid w:val="00C05B8E"/>
    <w:rsid w:val="00C1063D"/>
    <w:rsid w:val="00C15E0E"/>
    <w:rsid w:val="00C17486"/>
    <w:rsid w:val="00C23FB5"/>
    <w:rsid w:val="00C24445"/>
    <w:rsid w:val="00C24A1A"/>
    <w:rsid w:val="00C331BB"/>
    <w:rsid w:val="00C41A08"/>
    <w:rsid w:val="00C422B9"/>
    <w:rsid w:val="00C4240A"/>
    <w:rsid w:val="00C4241E"/>
    <w:rsid w:val="00C503EE"/>
    <w:rsid w:val="00C504EC"/>
    <w:rsid w:val="00C50EFE"/>
    <w:rsid w:val="00C615A3"/>
    <w:rsid w:val="00C6198D"/>
    <w:rsid w:val="00C635DA"/>
    <w:rsid w:val="00C639E7"/>
    <w:rsid w:val="00C659BE"/>
    <w:rsid w:val="00C75D4B"/>
    <w:rsid w:val="00C80300"/>
    <w:rsid w:val="00C813DE"/>
    <w:rsid w:val="00C82307"/>
    <w:rsid w:val="00C8613B"/>
    <w:rsid w:val="00C900DE"/>
    <w:rsid w:val="00C92622"/>
    <w:rsid w:val="00C9619C"/>
    <w:rsid w:val="00C97228"/>
    <w:rsid w:val="00C9780D"/>
    <w:rsid w:val="00CA02DA"/>
    <w:rsid w:val="00CA1A54"/>
    <w:rsid w:val="00CA1CB3"/>
    <w:rsid w:val="00CA4BDF"/>
    <w:rsid w:val="00CA655A"/>
    <w:rsid w:val="00CB066D"/>
    <w:rsid w:val="00CB531C"/>
    <w:rsid w:val="00CB7EC5"/>
    <w:rsid w:val="00CC46B2"/>
    <w:rsid w:val="00CC5718"/>
    <w:rsid w:val="00CC5DFF"/>
    <w:rsid w:val="00CC6501"/>
    <w:rsid w:val="00CD1352"/>
    <w:rsid w:val="00CD1CBE"/>
    <w:rsid w:val="00CD1E3E"/>
    <w:rsid w:val="00CD204D"/>
    <w:rsid w:val="00CD2EDC"/>
    <w:rsid w:val="00CD30E1"/>
    <w:rsid w:val="00CD32E2"/>
    <w:rsid w:val="00CD4B0B"/>
    <w:rsid w:val="00CD6698"/>
    <w:rsid w:val="00CE1E5B"/>
    <w:rsid w:val="00CF1D92"/>
    <w:rsid w:val="00CF2D92"/>
    <w:rsid w:val="00CF5628"/>
    <w:rsid w:val="00CF5D91"/>
    <w:rsid w:val="00D0025C"/>
    <w:rsid w:val="00D004FB"/>
    <w:rsid w:val="00D02BBC"/>
    <w:rsid w:val="00D02C36"/>
    <w:rsid w:val="00D12172"/>
    <w:rsid w:val="00D12B8C"/>
    <w:rsid w:val="00D16CAF"/>
    <w:rsid w:val="00D200F6"/>
    <w:rsid w:val="00D21646"/>
    <w:rsid w:val="00D2171F"/>
    <w:rsid w:val="00D35AEC"/>
    <w:rsid w:val="00D36A3A"/>
    <w:rsid w:val="00D40797"/>
    <w:rsid w:val="00D454F2"/>
    <w:rsid w:val="00D47CE9"/>
    <w:rsid w:val="00D52995"/>
    <w:rsid w:val="00D60425"/>
    <w:rsid w:val="00D72ADE"/>
    <w:rsid w:val="00D73DD3"/>
    <w:rsid w:val="00D75233"/>
    <w:rsid w:val="00D7728F"/>
    <w:rsid w:val="00D77696"/>
    <w:rsid w:val="00D81656"/>
    <w:rsid w:val="00D81CC4"/>
    <w:rsid w:val="00D9765E"/>
    <w:rsid w:val="00DA1473"/>
    <w:rsid w:val="00DA2E30"/>
    <w:rsid w:val="00DA3318"/>
    <w:rsid w:val="00DA4591"/>
    <w:rsid w:val="00DA6430"/>
    <w:rsid w:val="00DA681A"/>
    <w:rsid w:val="00DA6B7E"/>
    <w:rsid w:val="00DB63BE"/>
    <w:rsid w:val="00DB63DB"/>
    <w:rsid w:val="00DB7824"/>
    <w:rsid w:val="00DC0170"/>
    <w:rsid w:val="00DC0BF2"/>
    <w:rsid w:val="00DC308E"/>
    <w:rsid w:val="00DC5E0F"/>
    <w:rsid w:val="00DC6C76"/>
    <w:rsid w:val="00DC7F73"/>
    <w:rsid w:val="00DD793B"/>
    <w:rsid w:val="00DE191A"/>
    <w:rsid w:val="00DE1A0F"/>
    <w:rsid w:val="00DE3123"/>
    <w:rsid w:val="00DE339F"/>
    <w:rsid w:val="00DE65D3"/>
    <w:rsid w:val="00DF1535"/>
    <w:rsid w:val="00DF40C1"/>
    <w:rsid w:val="00DF53F5"/>
    <w:rsid w:val="00DF61FD"/>
    <w:rsid w:val="00DF6226"/>
    <w:rsid w:val="00DF6D25"/>
    <w:rsid w:val="00E00FE3"/>
    <w:rsid w:val="00E03C6D"/>
    <w:rsid w:val="00E105ED"/>
    <w:rsid w:val="00E11EE3"/>
    <w:rsid w:val="00E135F9"/>
    <w:rsid w:val="00E14349"/>
    <w:rsid w:val="00E20C28"/>
    <w:rsid w:val="00E22A77"/>
    <w:rsid w:val="00E22E84"/>
    <w:rsid w:val="00E24B18"/>
    <w:rsid w:val="00E3016C"/>
    <w:rsid w:val="00E348BC"/>
    <w:rsid w:val="00E35B8D"/>
    <w:rsid w:val="00E4307D"/>
    <w:rsid w:val="00E4318F"/>
    <w:rsid w:val="00E4392E"/>
    <w:rsid w:val="00E475EF"/>
    <w:rsid w:val="00E50B9E"/>
    <w:rsid w:val="00E54395"/>
    <w:rsid w:val="00E54741"/>
    <w:rsid w:val="00E568E5"/>
    <w:rsid w:val="00E56971"/>
    <w:rsid w:val="00E57AAD"/>
    <w:rsid w:val="00E6453F"/>
    <w:rsid w:val="00E659EF"/>
    <w:rsid w:val="00E677A6"/>
    <w:rsid w:val="00E70CBD"/>
    <w:rsid w:val="00E717E8"/>
    <w:rsid w:val="00E72BAF"/>
    <w:rsid w:val="00E73D37"/>
    <w:rsid w:val="00E73D81"/>
    <w:rsid w:val="00E73E7F"/>
    <w:rsid w:val="00E754F4"/>
    <w:rsid w:val="00E75EA0"/>
    <w:rsid w:val="00E80023"/>
    <w:rsid w:val="00E865D1"/>
    <w:rsid w:val="00E9618B"/>
    <w:rsid w:val="00EA057C"/>
    <w:rsid w:val="00EA16EB"/>
    <w:rsid w:val="00EA2D3D"/>
    <w:rsid w:val="00EA5B84"/>
    <w:rsid w:val="00EB20F9"/>
    <w:rsid w:val="00EB24EB"/>
    <w:rsid w:val="00EB34AF"/>
    <w:rsid w:val="00EB4719"/>
    <w:rsid w:val="00EC4235"/>
    <w:rsid w:val="00ED004B"/>
    <w:rsid w:val="00ED06CC"/>
    <w:rsid w:val="00ED2C8E"/>
    <w:rsid w:val="00ED379E"/>
    <w:rsid w:val="00ED7680"/>
    <w:rsid w:val="00EE0424"/>
    <w:rsid w:val="00EE0D47"/>
    <w:rsid w:val="00EE5358"/>
    <w:rsid w:val="00EF0491"/>
    <w:rsid w:val="00EF1B6A"/>
    <w:rsid w:val="00EF1F4C"/>
    <w:rsid w:val="00EF3C59"/>
    <w:rsid w:val="00EF54D8"/>
    <w:rsid w:val="00EF71E9"/>
    <w:rsid w:val="00F006D2"/>
    <w:rsid w:val="00F00BD1"/>
    <w:rsid w:val="00F01FD9"/>
    <w:rsid w:val="00F02B1C"/>
    <w:rsid w:val="00F048BA"/>
    <w:rsid w:val="00F04B07"/>
    <w:rsid w:val="00F05BA8"/>
    <w:rsid w:val="00F06A2B"/>
    <w:rsid w:val="00F06A33"/>
    <w:rsid w:val="00F16F13"/>
    <w:rsid w:val="00F20AEA"/>
    <w:rsid w:val="00F219C3"/>
    <w:rsid w:val="00F23CC3"/>
    <w:rsid w:val="00F23E9A"/>
    <w:rsid w:val="00F242D9"/>
    <w:rsid w:val="00F259FE"/>
    <w:rsid w:val="00F32395"/>
    <w:rsid w:val="00F326A2"/>
    <w:rsid w:val="00F3715D"/>
    <w:rsid w:val="00F415D7"/>
    <w:rsid w:val="00F44B62"/>
    <w:rsid w:val="00F5072C"/>
    <w:rsid w:val="00F51CBF"/>
    <w:rsid w:val="00F526D5"/>
    <w:rsid w:val="00F5411D"/>
    <w:rsid w:val="00F56D2B"/>
    <w:rsid w:val="00F57D2D"/>
    <w:rsid w:val="00F60164"/>
    <w:rsid w:val="00F606D8"/>
    <w:rsid w:val="00F62A49"/>
    <w:rsid w:val="00F64F0D"/>
    <w:rsid w:val="00F7026A"/>
    <w:rsid w:val="00F71826"/>
    <w:rsid w:val="00F72B45"/>
    <w:rsid w:val="00F73B00"/>
    <w:rsid w:val="00F74046"/>
    <w:rsid w:val="00F764EE"/>
    <w:rsid w:val="00F846DC"/>
    <w:rsid w:val="00F84737"/>
    <w:rsid w:val="00F84888"/>
    <w:rsid w:val="00F86D9E"/>
    <w:rsid w:val="00F87B69"/>
    <w:rsid w:val="00F90C95"/>
    <w:rsid w:val="00F9103E"/>
    <w:rsid w:val="00F95923"/>
    <w:rsid w:val="00F96A39"/>
    <w:rsid w:val="00F96BAA"/>
    <w:rsid w:val="00F96DB3"/>
    <w:rsid w:val="00F97463"/>
    <w:rsid w:val="00FA4B50"/>
    <w:rsid w:val="00FA4DC6"/>
    <w:rsid w:val="00FA5D99"/>
    <w:rsid w:val="00FB030E"/>
    <w:rsid w:val="00FB571F"/>
    <w:rsid w:val="00FC42BA"/>
    <w:rsid w:val="00FC4CC7"/>
    <w:rsid w:val="00FC6166"/>
    <w:rsid w:val="00FC77BB"/>
    <w:rsid w:val="00FD08C1"/>
    <w:rsid w:val="00FD2C54"/>
    <w:rsid w:val="00FD5C00"/>
    <w:rsid w:val="00FD7A7A"/>
    <w:rsid w:val="00FE0E71"/>
    <w:rsid w:val="00FE10C1"/>
    <w:rsid w:val="00FE190E"/>
    <w:rsid w:val="00FE20A9"/>
    <w:rsid w:val="00FE48A9"/>
    <w:rsid w:val="00FF08B7"/>
    <w:rsid w:val="00FF12B8"/>
    <w:rsid w:val="00FF146E"/>
    <w:rsid w:val="00FF521D"/>
    <w:rsid w:val="2EB9C07B"/>
    <w:rsid w:val="6705F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2C212210-A7F5-432E-ACA7-A9C70A5C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character" w:styleId="Emphasis">
    <w:name w:val="Emphasis"/>
    <w:basedOn w:val="DefaultParagraphFont"/>
    <w:uiPriority w:val="20"/>
    <w:qFormat/>
    <w:rsid w:val="008F2505"/>
    <w:rPr>
      <w:i/>
      <w:iCs/>
    </w:rPr>
  </w:style>
  <w:style w:type="character" w:customStyle="1" w:styleId="normaltextrun">
    <w:name w:val="normaltextrun"/>
    <w:basedOn w:val="DefaultParagraphFont"/>
    <w:rsid w:val="00F84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79516">
      <w:bodyDiv w:val="1"/>
      <w:marLeft w:val="0"/>
      <w:marRight w:val="0"/>
      <w:marTop w:val="0"/>
      <w:marBottom w:val="0"/>
      <w:divBdr>
        <w:top w:val="none" w:sz="0" w:space="0" w:color="auto"/>
        <w:left w:val="none" w:sz="0" w:space="0" w:color="auto"/>
        <w:bottom w:val="none" w:sz="0" w:space="0" w:color="auto"/>
        <w:right w:val="none" w:sz="0" w:space="0" w:color="auto"/>
      </w:divBdr>
    </w:div>
    <w:div w:id="69278274">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11139">
      <w:bodyDiv w:val="1"/>
      <w:marLeft w:val="0"/>
      <w:marRight w:val="0"/>
      <w:marTop w:val="0"/>
      <w:marBottom w:val="0"/>
      <w:divBdr>
        <w:top w:val="none" w:sz="0" w:space="0" w:color="auto"/>
        <w:left w:val="none" w:sz="0" w:space="0" w:color="auto"/>
        <w:bottom w:val="none" w:sz="0" w:space="0" w:color="auto"/>
        <w:right w:val="none" w:sz="0" w:space="0" w:color="auto"/>
      </w:divBdr>
    </w:div>
    <w:div w:id="283386232">
      <w:bodyDiv w:val="1"/>
      <w:marLeft w:val="0"/>
      <w:marRight w:val="0"/>
      <w:marTop w:val="0"/>
      <w:marBottom w:val="0"/>
      <w:divBdr>
        <w:top w:val="none" w:sz="0" w:space="0" w:color="auto"/>
        <w:left w:val="none" w:sz="0" w:space="0" w:color="auto"/>
        <w:bottom w:val="none" w:sz="0" w:space="0" w:color="auto"/>
        <w:right w:val="none" w:sz="0" w:space="0" w:color="auto"/>
      </w:divBdr>
    </w:div>
    <w:div w:id="383604670">
      <w:bodyDiv w:val="1"/>
      <w:marLeft w:val="0"/>
      <w:marRight w:val="0"/>
      <w:marTop w:val="0"/>
      <w:marBottom w:val="0"/>
      <w:divBdr>
        <w:top w:val="none" w:sz="0" w:space="0" w:color="auto"/>
        <w:left w:val="none" w:sz="0" w:space="0" w:color="auto"/>
        <w:bottom w:val="none" w:sz="0" w:space="0" w:color="auto"/>
        <w:right w:val="none" w:sz="0" w:space="0" w:color="auto"/>
      </w:divBdr>
    </w:div>
    <w:div w:id="404226901">
      <w:bodyDiv w:val="1"/>
      <w:marLeft w:val="0"/>
      <w:marRight w:val="0"/>
      <w:marTop w:val="0"/>
      <w:marBottom w:val="0"/>
      <w:divBdr>
        <w:top w:val="none" w:sz="0" w:space="0" w:color="auto"/>
        <w:left w:val="none" w:sz="0" w:space="0" w:color="auto"/>
        <w:bottom w:val="none" w:sz="0" w:space="0" w:color="auto"/>
        <w:right w:val="none" w:sz="0" w:space="0" w:color="auto"/>
      </w:divBdr>
    </w:div>
    <w:div w:id="441611920">
      <w:bodyDiv w:val="1"/>
      <w:marLeft w:val="0"/>
      <w:marRight w:val="0"/>
      <w:marTop w:val="0"/>
      <w:marBottom w:val="0"/>
      <w:divBdr>
        <w:top w:val="none" w:sz="0" w:space="0" w:color="auto"/>
        <w:left w:val="none" w:sz="0" w:space="0" w:color="auto"/>
        <w:bottom w:val="none" w:sz="0" w:space="0" w:color="auto"/>
        <w:right w:val="none" w:sz="0" w:space="0" w:color="auto"/>
      </w:divBdr>
    </w:div>
    <w:div w:id="455484883">
      <w:bodyDiv w:val="1"/>
      <w:marLeft w:val="0"/>
      <w:marRight w:val="0"/>
      <w:marTop w:val="0"/>
      <w:marBottom w:val="0"/>
      <w:divBdr>
        <w:top w:val="none" w:sz="0" w:space="0" w:color="auto"/>
        <w:left w:val="none" w:sz="0" w:space="0" w:color="auto"/>
        <w:bottom w:val="none" w:sz="0" w:space="0" w:color="auto"/>
        <w:right w:val="none" w:sz="0" w:space="0" w:color="auto"/>
      </w:divBdr>
    </w:div>
    <w:div w:id="475949763">
      <w:bodyDiv w:val="1"/>
      <w:marLeft w:val="0"/>
      <w:marRight w:val="0"/>
      <w:marTop w:val="0"/>
      <w:marBottom w:val="0"/>
      <w:divBdr>
        <w:top w:val="none" w:sz="0" w:space="0" w:color="auto"/>
        <w:left w:val="none" w:sz="0" w:space="0" w:color="auto"/>
        <w:bottom w:val="none" w:sz="0" w:space="0" w:color="auto"/>
        <w:right w:val="none" w:sz="0" w:space="0" w:color="auto"/>
      </w:divBdr>
    </w:div>
    <w:div w:id="510877539">
      <w:bodyDiv w:val="1"/>
      <w:marLeft w:val="0"/>
      <w:marRight w:val="0"/>
      <w:marTop w:val="0"/>
      <w:marBottom w:val="0"/>
      <w:divBdr>
        <w:top w:val="none" w:sz="0" w:space="0" w:color="auto"/>
        <w:left w:val="none" w:sz="0" w:space="0" w:color="auto"/>
        <w:bottom w:val="none" w:sz="0" w:space="0" w:color="auto"/>
        <w:right w:val="none" w:sz="0" w:space="0" w:color="auto"/>
      </w:divBdr>
    </w:div>
    <w:div w:id="538788210">
      <w:bodyDiv w:val="1"/>
      <w:marLeft w:val="0"/>
      <w:marRight w:val="0"/>
      <w:marTop w:val="0"/>
      <w:marBottom w:val="0"/>
      <w:divBdr>
        <w:top w:val="none" w:sz="0" w:space="0" w:color="auto"/>
        <w:left w:val="none" w:sz="0" w:space="0" w:color="auto"/>
        <w:bottom w:val="none" w:sz="0" w:space="0" w:color="auto"/>
        <w:right w:val="none" w:sz="0" w:space="0" w:color="auto"/>
      </w:divBdr>
    </w:div>
    <w:div w:id="568924576">
      <w:bodyDiv w:val="1"/>
      <w:marLeft w:val="0"/>
      <w:marRight w:val="0"/>
      <w:marTop w:val="0"/>
      <w:marBottom w:val="0"/>
      <w:divBdr>
        <w:top w:val="none" w:sz="0" w:space="0" w:color="auto"/>
        <w:left w:val="none" w:sz="0" w:space="0" w:color="auto"/>
        <w:bottom w:val="none" w:sz="0" w:space="0" w:color="auto"/>
        <w:right w:val="none" w:sz="0" w:space="0" w:color="auto"/>
      </w:divBdr>
    </w:div>
    <w:div w:id="590046949">
      <w:bodyDiv w:val="1"/>
      <w:marLeft w:val="0"/>
      <w:marRight w:val="0"/>
      <w:marTop w:val="0"/>
      <w:marBottom w:val="0"/>
      <w:divBdr>
        <w:top w:val="none" w:sz="0" w:space="0" w:color="auto"/>
        <w:left w:val="none" w:sz="0" w:space="0" w:color="auto"/>
        <w:bottom w:val="none" w:sz="0" w:space="0" w:color="auto"/>
        <w:right w:val="none" w:sz="0" w:space="0" w:color="auto"/>
      </w:divBdr>
    </w:div>
    <w:div w:id="673530453">
      <w:bodyDiv w:val="1"/>
      <w:marLeft w:val="0"/>
      <w:marRight w:val="0"/>
      <w:marTop w:val="0"/>
      <w:marBottom w:val="0"/>
      <w:divBdr>
        <w:top w:val="none" w:sz="0" w:space="0" w:color="auto"/>
        <w:left w:val="none" w:sz="0" w:space="0" w:color="auto"/>
        <w:bottom w:val="none" w:sz="0" w:space="0" w:color="auto"/>
        <w:right w:val="none" w:sz="0" w:space="0" w:color="auto"/>
      </w:divBdr>
    </w:div>
    <w:div w:id="674455954">
      <w:bodyDiv w:val="1"/>
      <w:marLeft w:val="0"/>
      <w:marRight w:val="0"/>
      <w:marTop w:val="0"/>
      <w:marBottom w:val="0"/>
      <w:divBdr>
        <w:top w:val="none" w:sz="0" w:space="0" w:color="auto"/>
        <w:left w:val="none" w:sz="0" w:space="0" w:color="auto"/>
        <w:bottom w:val="none" w:sz="0" w:space="0" w:color="auto"/>
        <w:right w:val="none" w:sz="0" w:space="0" w:color="auto"/>
      </w:divBdr>
    </w:div>
    <w:div w:id="719286547">
      <w:bodyDiv w:val="1"/>
      <w:marLeft w:val="0"/>
      <w:marRight w:val="0"/>
      <w:marTop w:val="0"/>
      <w:marBottom w:val="0"/>
      <w:divBdr>
        <w:top w:val="none" w:sz="0" w:space="0" w:color="auto"/>
        <w:left w:val="none" w:sz="0" w:space="0" w:color="auto"/>
        <w:bottom w:val="none" w:sz="0" w:space="0" w:color="auto"/>
        <w:right w:val="none" w:sz="0" w:space="0" w:color="auto"/>
      </w:divBdr>
    </w:div>
    <w:div w:id="779883717">
      <w:bodyDiv w:val="1"/>
      <w:marLeft w:val="0"/>
      <w:marRight w:val="0"/>
      <w:marTop w:val="0"/>
      <w:marBottom w:val="0"/>
      <w:divBdr>
        <w:top w:val="none" w:sz="0" w:space="0" w:color="auto"/>
        <w:left w:val="none" w:sz="0" w:space="0" w:color="auto"/>
        <w:bottom w:val="none" w:sz="0" w:space="0" w:color="auto"/>
        <w:right w:val="none" w:sz="0" w:space="0" w:color="auto"/>
      </w:divBdr>
    </w:div>
    <w:div w:id="840463057">
      <w:bodyDiv w:val="1"/>
      <w:marLeft w:val="0"/>
      <w:marRight w:val="0"/>
      <w:marTop w:val="0"/>
      <w:marBottom w:val="0"/>
      <w:divBdr>
        <w:top w:val="none" w:sz="0" w:space="0" w:color="auto"/>
        <w:left w:val="none" w:sz="0" w:space="0" w:color="auto"/>
        <w:bottom w:val="none" w:sz="0" w:space="0" w:color="auto"/>
        <w:right w:val="none" w:sz="0" w:space="0" w:color="auto"/>
      </w:divBdr>
    </w:div>
    <w:div w:id="842355682">
      <w:bodyDiv w:val="1"/>
      <w:marLeft w:val="0"/>
      <w:marRight w:val="0"/>
      <w:marTop w:val="0"/>
      <w:marBottom w:val="0"/>
      <w:divBdr>
        <w:top w:val="none" w:sz="0" w:space="0" w:color="auto"/>
        <w:left w:val="none" w:sz="0" w:space="0" w:color="auto"/>
        <w:bottom w:val="none" w:sz="0" w:space="0" w:color="auto"/>
        <w:right w:val="none" w:sz="0" w:space="0" w:color="auto"/>
      </w:divBdr>
    </w:div>
    <w:div w:id="876701103">
      <w:bodyDiv w:val="1"/>
      <w:marLeft w:val="0"/>
      <w:marRight w:val="0"/>
      <w:marTop w:val="0"/>
      <w:marBottom w:val="0"/>
      <w:divBdr>
        <w:top w:val="none" w:sz="0" w:space="0" w:color="auto"/>
        <w:left w:val="none" w:sz="0" w:space="0" w:color="auto"/>
        <w:bottom w:val="none" w:sz="0" w:space="0" w:color="auto"/>
        <w:right w:val="none" w:sz="0" w:space="0" w:color="auto"/>
      </w:divBdr>
    </w:div>
    <w:div w:id="933896524">
      <w:bodyDiv w:val="1"/>
      <w:marLeft w:val="0"/>
      <w:marRight w:val="0"/>
      <w:marTop w:val="0"/>
      <w:marBottom w:val="0"/>
      <w:divBdr>
        <w:top w:val="none" w:sz="0" w:space="0" w:color="auto"/>
        <w:left w:val="none" w:sz="0" w:space="0" w:color="auto"/>
        <w:bottom w:val="none" w:sz="0" w:space="0" w:color="auto"/>
        <w:right w:val="none" w:sz="0" w:space="0" w:color="auto"/>
      </w:divBdr>
    </w:div>
    <w:div w:id="952399082">
      <w:bodyDiv w:val="1"/>
      <w:marLeft w:val="0"/>
      <w:marRight w:val="0"/>
      <w:marTop w:val="0"/>
      <w:marBottom w:val="0"/>
      <w:divBdr>
        <w:top w:val="none" w:sz="0" w:space="0" w:color="auto"/>
        <w:left w:val="none" w:sz="0" w:space="0" w:color="auto"/>
        <w:bottom w:val="none" w:sz="0" w:space="0" w:color="auto"/>
        <w:right w:val="none" w:sz="0" w:space="0" w:color="auto"/>
      </w:divBdr>
    </w:div>
    <w:div w:id="962690807">
      <w:bodyDiv w:val="1"/>
      <w:marLeft w:val="0"/>
      <w:marRight w:val="0"/>
      <w:marTop w:val="0"/>
      <w:marBottom w:val="0"/>
      <w:divBdr>
        <w:top w:val="none" w:sz="0" w:space="0" w:color="auto"/>
        <w:left w:val="none" w:sz="0" w:space="0" w:color="auto"/>
        <w:bottom w:val="none" w:sz="0" w:space="0" w:color="auto"/>
        <w:right w:val="none" w:sz="0" w:space="0" w:color="auto"/>
      </w:divBdr>
    </w:div>
    <w:div w:id="1011879121">
      <w:bodyDiv w:val="1"/>
      <w:marLeft w:val="0"/>
      <w:marRight w:val="0"/>
      <w:marTop w:val="0"/>
      <w:marBottom w:val="0"/>
      <w:divBdr>
        <w:top w:val="none" w:sz="0" w:space="0" w:color="auto"/>
        <w:left w:val="none" w:sz="0" w:space="0" w:color="auto"/>
        <w:bottom w:val="none" w:sz="0" w:space="0" w:color="auto"/>
        <w:right w:val="none" w:sz="0" w:space="0" w:color="auto"/>
      </w:divBdr>
    </w:div>
    <w:div w:id="1032340807">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05268560">
      <w:bodyDiv w:val="1"/>
      <w:marLeft w:val="0"/>
      <w:marRight w:val="0"/>
      <w:marTop w:val="0"/>
      <w:marBottom w:val="0"/>
      <w:divBdr>
        <w:top w:val="none" w:sz="0" w:space="0" w:color="auto"/>
        <w:left w:val="none" w:sz="0" w:space="0" w:color="auto"/>
        <w:bottom w:val="none" w:sz="0" w:space="0" w:color="auto"/>
        <w:right w:val="none" w:sz="0" w:space="0" w:color="auto"/>
      </w:divBdr>
    </w:div>
    <w:div w:id="1127894539">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197082261">
      <w:bodyDiv w:val="1"/>
      <w:marLeft w:val="0"/>
      <w:marRight w:val="0"/>
      <w:marTop w:val="0"/>
      <w:marBottom w:val="0"/>
      <w:divBdr>
        <w:top w:val="none" w:sz="0" w:space="0" w:color="auto"/>
        <w:left w:val="none" w:sz="0" w:space="0" w:color="auto"/>
        <w:bottom w:val="none" w:sz="0" w:space="0" w:color="auto"/>
        <w:right w:val="none" w:sz="0" w:space="0" w:color="auto"/>
      </w:divBdr>
    </w:div>
    <w:div w:id="1237666413">
      <w:bodyDiv w:val="1"/>
      <w:marLeft w:val="0"/>
      <w:marRight w:val="0"/>
      <w:marTop w:val="0"/>
      <w:marBottom w:val="0"/>
      <w:divBdr>
        <w:top w:val="none" w:sz="0" w:space="0" w:color="auto"/>
        <w:left w:val="none" w:sz="0" w:space="0" w:color="auto"/>
        <w:bottom w:val="none" w:sz="0" w:space="0" w:color="auto"/>
        <w:right w:val="none" w:sz="0" w:space="0" w:color="auto"/>
      </w:divBdr>
    </w:div>
    <w:div w:id="1277374531">
      <w:bodyDiv w:val="1"/>
      <w:marLeft w:val="0"/>
      <w:marRight w:val="0"/>
      <w:marTop w:val="0"/>
      <w:marBottom w:val="0"/>
      <w:divBdr>
        <w:top w:val="none" w:sz="0" w:space="0" w:color="auto"/>
        <w:left w:val="none" w:sz="0" w:space="0" w:color="auto"/>
        <w:bottom w:val="none" w:sz="0" w:space="0" w:color="auto"/>
        <w:right w:val="none" w:sz="0" w:space="0" w:color="auto"/>
      </w:divBdr>
    </w:div>
    <w:div w:id="1348560389">
      <w:bodyDiv w:val="1"/>
      <w:marLeft w:val="0"/>
      <w:marRight w:val="0"/>
      <w:marTop w:val="0"/>
      <w:marBottom w:val="0"/>
      <w:divBdr>
        <w:top w:val="none" w:sz="0" w:space="0" w:color="auto"/>
        <w:left w:val="none" w:sz="0" w:space="0" w:color="auto"/>
        <w:bottom w:val="none" w:sz="0" w:space="0" w:color="auto"/>
        <w:right w:val="none" w:sz="0" w:space="0" w:color="auto"/>
      </w:divBdr>
    </w:div>
    <w:div w:id="1349598058">
      <w:bodyDiv w:val="1"/>
      <w:marLeft w:val="0"/>
      <w:marRight w:val="0"/>
      <w:marTop w:val="0"/>
      <w:marBottom w:val="0"/>
      <w:divBdr>
        <w:top w:val="none" w:sz="0" w:space="0" w:color="auto"/>
        <w:left w:val="none" w:sz="0" w:space="0" w:color="auto"/>
        <w:bottom w:val="none" w:sz="0" w:space="0" w:color="auto"/>
        <w:right w:val="none" w:sz="0" w:space="0" w:color="auto"/>
      </w:divBdr>
    </w:div>
    <w:div w:id="1381856291">
      <w:bodyDiv w:val="1"/>
      <w:marLeft w:val="0"/>
      <w:marRight w:val="0"/>
      <w:marTop w:val="0"/>
      <w:marBottom w:val="0"/>
      <w:divBdr>
        <w:top w:val="none" w:sz="0" w:space="0" w:color="auto"/>
        <w:left w:val="none" w:sz="0" w:space="0" w:color="auto"/>
        <w:bottom w:val="none" w:sz="0" w:space="0" w:color="auto"/>
        <w:right w:val="none" w:sz="0" w:space="0" w:color="auto"/>
      </w:divBdr>
    </w:div>
    <w:div w:id="1408066982">
      <w:bodyDiv w:val="1"/>
      <w:marLeft w:val="0"/>
      <w:marRight w:val="0"/>
      <w:marTop w:val="0"/>
      <w:marBottom w:val="0"/>
      <w:divBdr>
        <w:top w:val="none" w:sz="0" w:space="0" w:color="auto"/>
        <w:left w:val="none" w:sz="0" w:space="0" w:color="auto"/>
        <w:bottom w:val="none" w:sz="0" w:space="0" w:color="auto"/>
        <w:right w:val="none" w:sz="0" w:space="0" w:color="auto"/>
      </w:divBdr>
    </w:div>
    <w:div w:id="1427650302">
      <w:bodyDiv w:val="1"/>
      <w:marLeft w:val="0"/>
      <w:marRight w:val="0"/>
      <w:marTop w:val="0"/>
      <w:marBottom w:val="0"/>
      <w:divBdr>
        <w:top w:val="none" w:sz="0" w:space="0" w:color="auto"/>
        <w:left w:val="none" w:sz="0" w:space="0" w:color="auto"/>
        <w:bottom w:val="none" w:sz="0" w:space="0" w:color="auto"/>
        <w:right w:val="none" w:sz="0" w:space="0" w:color="auto"/>
      </w:divBdr>
    </w:div>
    <w:div w:id="1485246130">
      <w:bodyDiv w:val="1"/>
      <w:marLeft w:val="0"/>
      <w:marRight w:val="0"/>
      <w:marTop w:val="0"/>
      <w:marBottom w:val="0"/>
      <w:divBdr>
        <w:top w:val="none" w:sz="0" w:space="0" w:color="auto"/>
        <w:left w:val="none" w:sz="0" w:space="0" w:color="auto"/>
        <w:bottom w:val="none" w:sz="0" w:space="0" w:color="auto"/>
        <w:right w:val="none" w:sz="0" w:space="0" w:color="auto"/>
      </w:divBdr>
    </w:div>
    <w:div w:id="151422277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11282866">
      <w:bodyDiv w:val="1"/>
      <w:marLeft w:val="0"/>
      <w:marRight w:val="0"/>
      <w:marTop w:val="0"/>
      <w:marBottom w:val="0"/>
      <w:divBdr>
        <w:top w:val="none" w:sz="0" w:space="0" w:color="auto"/>
        <w:left w:val="none" w:sz="0" w:space="0" w:color="auto"/>
        <w:bottom w:val="none" w:sz="0" w:space="0" w:color="auto"/>
        <w:right w:val="none" w:sz="0" w:space="0" w:color="auto"/>
      </w:divBdr>
    </w:div>
    <w:div w:id="1680697437">
      <w:bodyDiv w:val="1"/>
      <w:marLeft w:val="0"/>
      <w:marRight w:val="0"/>
      <w:marTop w:val="0"/>
      <w:marBottom w:val="0"/>
      <w:divBdr>
        <w:top w:val="none" w:sz="0" w:space="0" w:color="auto"/>
        <w:left w:val="none" w:sz="0" w:space="0" w:color="auto"/>
        <w:bottom w:val="none" w:sz="0" w:space="0" w:color="auto"/>
        <w:right w:val="none" w:sz="0" w:space="0" w:color="auto"/>
      </w:divBdr>
    </w:div>
    <w:div w:id="1686638068">
      <w:bodyDiv w:val="1"/>
      <w:marLeft w:val="0"/>
      <w:marRight w:val="0"/>
      <w:marTop w:val="0"/>
      <w:marBottom w:val="0"/>
      <w:divBdr>
        <w:top w:val="none" w:sz="0" w:space="0" w:color="auto"/>
        <w:left w:val="none" w:sz="0" w:space="0" w:color="auto"/>
        <w:bottom w:val="none" w:sz="0" w:space="0" w:color="auto"/>
        <w:right w:val="none" w:sz="0" w:space="0" w:color="auto"/>
      </w:divBdr>
    </w:div>
    <w:div w:id="1716857395">
      <w:bodyDiv w:val="1"/>
      <w:marLeft w:val="0"/>
      <w:marRight w:val="0"/>
      <w:marTop w:val="0"/>
      <w:marBottom w:val="0"/>
      <w:divBdr>
        <w:top w:val="none" w:sz="0" w:space="0" w:color="auto"/>
        <w:left w:val="none" w:sz="0" w:space="0" w:color="auto"/>
        <w:bottom w:val="none" w:sz="0" w:space="0" w:color="auto"/>
        <w:right w:val="none" w:sz="0" w:space="0" w:color="auto"/>
      </w:divBdr>
    </w:div>
    <w:div w:id="1779522558">
      <w:bodyDiv w:val="1"/>
      <w:marLeft w:val="0"/>
      <w:marRight w:val="0"/>
      <w:marTop w:val="0"/>
      <w:marBottom w:val="0"/>
      <w:divBdr>
        <w:top w:val="none" w:sz="0" w:space="0" w:color="auto"/>
        <w:left w:val="none" w:sz="0" w:space="0" w:color="auto"/>
        <w:bottom w:val="none" w:sz="0" w:space="0" w:color="auto"/>
        <w:right w:val="none" w:sz="0" w:space="0" w:color="auto"/>
      </w:divBdr>
    </w:div>
    <w:div w:id="1791241983">
      <w:bodyDiv w:val="1"/>
      <w:marLeft w:val="0"/>
      <w:marRight w:val="0"/>
      <w:marTop w:val="0"/>
      <w:marBottom w:val="0"/>
      <w:divBdr>
        <w:top w:val="none" w:sz="0" w:space="0" w:color="auto"/>
        <w:left w:val="none" w:sz="0" w:space="0" w:color="auto"/>
        <w:bottom w:val="none" w:sz="0" w:space="0" w:color="auto"/>
        <w:right w:val="none" w:sz="0" w:space="0" w:color="auto"/>
      </w:divBdr>
    </w:div>
    <w:div w:id="1831408030">
      <w:bodyDiv w:val="1"/>
      <w:marLeft w:val="0"/>
      <w:marRight w:val="0"/>
      <w:marTop w:val="0"/>
      <w:marBottom w:val="0"/>
      <w:divBdr>
        <w:top w:val="none" w:sz="0" w:space="0" w:color="auto"/>
        <w:left w:val="none" w:sz="0" w:space="0" w:color="auto"/>
        <w:bottom w:val="none" w:sz="0" w:space="0" w:color="auto"/>
        <w:right w:val="none" w:sz="0" w:space="0" w:color="auto"/>
      </w:divBdr>
    </w:div>
    <w:div w:id="1918049306">
      <w:bodyDiv w:val="1"/>
      <w:marLeft w:val="0"/>
      <w:marRight w:val="0"/>
      <w:marTop w:val="0"/>
      <w:marBottom w:val="0"/>
      <w:divBdr>
        <w:top w:val="none" w:sz="0" w:space="0" w:color="auto"/>
        <w:left w:val="none" w:sz="0" w:space="0" w:color="auto"/>
        <w:bottom w:val="none" w:sz="0" w:space="0" w:color="auto"/>
        <w:right w:val="none" w:sz="0" w:space="0" w:color="auto"/>
      </w:divBdr>
    </w:div>
    <w:div w:id="1972514539">
      <w:bodyDiv w:val="1"/>
      <w:marLeft w:val="0"/>
      <w:marRight w:val="0"/>
      <w:marTop w:val="0"/>
      <w:marBottom w:val="0"/>
      <w:divBdr>
        <w:top w:val="none" w:sz="0" w:space="0" w:color="auto"/>
        <w:left w:val="none" w:sz="0" w:space="0" w:color="auto"/>
        <w:bottom w:val="none" w:sz="0" w:space="0" w:color="auto"/>
        <w:right w:val="none" w:sz="0" w:space="0" w:color="auto"/>
      </w:divBdr>
    </w:div>
    <w:div w:id="198673731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08971108">
      <w:bodyDiv w:val="1"/>
      <w:marLeft w:val="0"/>
      <w:marRight w:val="0"/>
      <w:marTop w:val="0"/>
      <w:marBottom w:val="0"/>
      <w:divBdr>
        <w:top w:val="none" w:sz="0" w:space="0" w:color="auto"/>
        <w:left w:val="none" w:sz="0" w:space="0" w:color="auto"/>
        <w:bottom w:val="none" w:sz="0" w:space="0" w:color="auto"/>
        <w:right w:val="none" w:sz="0" w:space="0" w:color="auto"/>
      </w:divBdr>
    </w:div>
    <w:div w:id="2010597579">
      <w:bodyDiv w:val="1"/>
      <w:marLeft w:val="0"/>
      <w:marRight w:val="0"/>
      <w:marTop w:val="0"/>
      <w:marBottom w:val="0"/>
      <w:divBdr>
        <w:top w:val="none" w:sz="0" w:space="0" w:color="auto"/>
        <w:left w:val="none" w:sz="0" w:space="0" w:color="auto"/>
        <w:bottom w:val="none" w:sz="0" w:space="0" w:color="auto"/>
        <w:right w:val="none" w:sz="0" w:space="0" w:color="auto"/>
      </w:divBdr>
    </w:div>
    <w:div w:id="2032489087">
      <w:bodyDiv w:val="1"/>
      <w:marLeft w:val="0"/>
      <w:marRight w:val="0"/>
      <w:marTop w:val="0"/>
      <w:marBottom w:val="0"/>
      <w:divBdr>
        <w:top w:val="none" w:sz="0" w:space="0" w:color="auto"/>
        <w:left w:val="none" w:sz="0" w:space="0" w:color="auto"/>
        <w:bottom w:val="none" w:sz="0" w:space="0" w:color="auto"/>
        <w:right w:val="none" w:sz="0" w:space="0" w:color="auto"/>
      </w:divBdr>
    </w:div>
    <w:div w:id="2074427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B05C58852F2F0458B07EE4830999E43" ma:contentTypeVersion="6271" ma:contentTypeDescription="Create a new document." ma:contentTypeScope="" ma:versionID="48849dd61e0e267f1d54cd73e92bf8fc">
  <xsd:schema xmlns:xsd="http://www.w3.org/2001/XMLSchema" xmlns:xs="http://www.w3.org/2001/XMLSchema" xmlns:p="http://schemas.microsoft.com/office/2006/metadata/properties" xmlns:ns2="8c8f6062-e42a-4ba3-93d7-c888cc3b67ae" xmlns:ns3="9bf079a2-8838-46e4-a25e-754293e27338" targetNamespace="http://schemas.microsoft.com/office/2006/metadata/properties" ma:root="true" ma:fieldsID="965c8973a85d6252808d7ebb9f1c13d9" ns2:_="" ns3:_="">
    <xsd:import namespace="8c8f6062-e42a-4ba3-93d7-c888cc3b67ae"/>
    <xsd:import namespace="9bf079a2-8838-46e4-a25e-754293e27338"/>
    <xsd:element name="properties">
      <xsd:complexType>
        <xsd:sequence>
          <xsd:element name="documentManagement">
            <xsd:complexType>
              <xsd:all>
                <xsd:element ref="ns2:MediaServiceMetadata" minOccurs="0"/>
                <xsd:element ref="ns2:MediaServiceFastMetadata" minOccurs="0"/>
                <xsd:element ref="ns2:Date" minOccurs="0"/>
                <xsd:element ref="ns2:MediaServiceAutoKeyPoints" minOccurs="0"/>
                <xsd:element ref="ns2:MediaServiceKeyPoints" minOccurs="0"/>
                <xsd:element ref="ns3:SharedWithUsers" minOccurs="0"/>
                <xsd:element ref="ns3:SharedWithDetails" minOccurs="0"/>
                <xsd:element ref="ns3:_dlc_DocId" minOccurs="0"/>
                <xsd:element ref="ns3:_dlc_DocIdUrl" minOccurs="0"/>
                <xsd:element ref="ns3:_dlc_DocIdPersistId"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f6062-e42a-4ba3-93d7-c888cc3b6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0" nillable="true" ma:displayName="Date" ma:format="DateTime" ma:internalName="Date">
      <xsd:simpleType>
        <xsd:restriction base="dms:DateTim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f079a2-8838-46e4-a25e-754293e2733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ate xmlns="8c8f6062-e42a-4ba3-93d7-c888cc3b67ae" xsi:nil="true"/>
    <_dlc_DocId xmlns="9bf079a2-8838-46e4-a25e-754293e27338">7RCVYNPDDY4V-1380510615-63719</_dlc_DocId>
    <_dlc_DocIdUrl xmlns="9bf079a2-8838-46e4-a25e-754293e27338">
      <Url>https://sempra.sharepoint.com/teams/sdgecp/ESS/Engineering/_layouts/15/DocIdRedir.aspx?ID=7RCVYNPDDY4V-1380510615-63719</Url>
      <Description>7RCVYNPDDY4V-1380510615-63719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FE236-81A3-44F6-8CFA-42898A1B8841}">
  <ds:schemaRefs>
    <ds:schemaRef ds:uri="http://schemas.microsoft.com/sharepoint/events"/>
  </ds:schemaRefs>
</ds:datastoreItem>
</file>

<file path=customXml/itemProps2.xml><?xml version="1.0" encoding="utf-8"?>
<ds:datastoreItem xmlns:ds="http://schemas.openxmlformats.org/officeDocument/2006/customXml" ds:itemID="{D2374874-E39F-4C01-99C7-126123087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8f6062-e42a-4ba3-93d7-c888cc3b67ae"/>
    <ds:schemaRef ds:uri="9bf079a2-8838-46e4-a25e-754293e27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33431-93DF-4094-A4C8-B911641AC9BF}">
  <ds:schemaRefs>
    <ds:schemaRef ds:uri="http://schemas.openxmlformats.org/officeDocument/2006/bibliography"/>
  </ds:schemaRefs>
</ds:datastoreItem>
</file>

<file path=customXml/itemProps4.xml><?xml version="1.0" encoding="utf-8"?>
<ds:datastoreItem xmlns:ds="http://schemas.openxmlformats.org/officeDocument/2006/customXml" ds:itemID="{89CB7DAE-A246-46BB-92EE-EF0B9C413FF1}">
  <ds:schemaRefs>
    <ds:schemaRef ds:uri="http://schemas.microsoft.com/office/2006/metadata/properties"/>
    <ds:schemaRef ds:uri="http://schemas.microsoft.com/office/infopath/2007/PartnerControls"/>
    <ds:schemaRef ds:uri="8c8f6062-e42a-4ba3-93d7-c888cc3b67ae"/>
    <ds:schemaRef ds:uri="9bf079a2-8838-46e4-a25e-754293e27338"/>
  </ds:schemaRefs>
</ds:datastoreItem>
</file>

<file path=customXml/itemProps5.xml><?xml version="1.0" encoding="utf-8"?>
<ds:datastoreItem xmlns:ds="http://schemas.openxmlformats.org/officeDocument/2006/customXml" ds:itemID="{B9DABF8F-9651-4DCA-B124-3C3801373F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86</TotalTime>
  <Pages>11</Pages>
  <Words>3198</Words>
  <Characters>18234</Characters>
  <Application>Microsoft Office Word</Application>
  <DocSecurity>0</DocSecurity>
  <Lines>151</Lines>
  <Paragraphs>42</Paragraphs>
  <ScaleCrop>false</ScaleCrop>
  <Manager/>
  <Company/>
  <LinksUpToDate>false</LinksUpToDate>
  <CharactersWithSpaces>21390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4</cp:revision>
  <cp:lastPrinted>2017-06-29T20:58:00Z</cp:lastPrinted>
  <dcterms:created xsi:type="dcterms:W3CDTF">2021-04-09T21:44:00Z</dcterms:created>
  <dcterms:modified xsi:type="dcterms:W3CDTF">2021-04-10T00:20:00Z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0x010100EB05C58852F2F0458B07EE4830999E43</vt:lpwstr>
  </property>
  <property fmtid="{D5CDD505-2E9C-101B-9397-08002B2CF9AE}" pid="3" name="_dlc_DocIdItemGuid">
    <vt:lpwstr>dcc95864-f1b7-47f2-9548-d5e5ff164f41</vt:lpwstr>
  </property>
</Properties>
</file>